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393" w:rsidRDefault="00073393" w:rsidP="00073393">
      <w:pPr>
        <w:keepNext/>
        <w:keepLines/>
        <w:spacing w:before="480" w:after="0"/>
        <w:jc w:val="center"/>
        <w:outlineLvl w:val="0"/>
        <w:rPr>
          <w:rFonts w:ascii="Cambria" w:eastAsia="MS Gothic" w:hAnsi="Cambria" w:cs="Times New Roman"/>
          <w:b/>
          <w:bCs/>
          <w:color w:val="345A8A"/>
          <w:sz w:val="32"/>
          <w:szCs w:val="32"/>
          <w:lang w:val="es-AR"/>
        </w:rPr>
      </w:pPr>
      <w:r w:rsidRPr="00F07C27">
        <w:rPr>
          <w:rFonts w:ascii="Cambria" w:eastAsia="MS Gothic" w:hAnsi="Cambria" w:cs="Times New Roman"/>
          <w:b/>
          <w:bCs/>
          <w:color w:val="345A8A"/>
          <w:sz w:val="32"/>
          <w:szCs w:val="32"/>
          <w:lang w:val="es-AR"/>
        </w:rPr>
        <w:t>EFECTOS DE LA NUTRICION ENTERAL TEMPRANA EN</w:t>
      </w:r>
      <w:r>
        <w:rPr>
          <w:rFonts w:ascii="Cambria" w:eastAsia="MS Gothic" w:hAnsi="Cambria" w:cs="Times New Roman"/>
          <w:b/>
          <w:bCs/>
          <w:color w:val="345A8A"/>
          <w:sz w:val="32"/>
          <w:szCs w:val="32"/>
          <w:lang w:val="es-AR"/>
        </w:rPr>
        <w:t xml:space="preserve"> </w:t>
      </w:r>
      <w:r w:rsidRPr="00F07C27">
        <w:rPr>
          <w:rFonts w:ascii="Cambria" w:eastAsia="MS Gothic" w:hAnsi="Cambria" w:cs="Times New Roman"/>
          <w:b/>
          <w:bCs/>
          <w:color w:val="345A8A"/>
          <w:sz w:val="32"/>
          <w:szCs w:val="32"/>
          <w:lang w:val="es-AR"/>
        </w:rPr>
        <w:t>PACIENTES CON PANCREATITIS AGUDA LEVE</w:t>
      </w:r>
    </w:p>
    <w:p w:rsidR="00073393" w:rsidRPr="00504CCD" w:rsidRDefault="00073393" w:rsidP="00073393">
      <w:pPr>
        <w:keepNext/>
        <w:keepLines/>
        <w:spacing w:before="480" w:after="0"/>
        <w:jc w:val="center"/>
        <w:outlineLvl w:val="0"/>
        <w:rPr>
          <w:rFonts w:ascii="Cambria" w:eastAsia="MS Gothic" w:hAnsi="Cambria" w:cs="Times New Roman"/>
          <w:b/>
          <w:bCs/>
          <w:color w:val="345A8A"/>
          <w:sz w:val="32"/>
          <w:szCs w:val="32"/>
          <w:lang w:val="en-US"/>
        </w:rPr>
      </w:pPr>
      <w:r w:rsidRPr="00504CCD">
        <w:rPr>
          <w:rFonts w:ascii="Cambria" w:eastAsia="MS Gothic" w:hAnsi="Cambria" w:cs="Times New Roman"/>
          <w:b/>
          <w:bCs/>
          <w:color w:val="345A8A"/>
          <w:sz w:val="32"/>
          <w:szCs w:val="32"/>
          <w:lang w:val="es-AR"/>
        </w:rPr>
        <w:t xml:space="preserve"> </w:t>
      </w:r>
      <w:r w:rsidRPr="00504CCD">
        <w:rPr>
          <w:rFonts w:ascii="Cambria" w:eastAsia="MS Gothic" w:hAnsi="Cambria" w:cs="Times New Roman"/>
          <w:b/>
          <w:bCs/>
          <w:color w:val="345A8A"/>
          <w:sz w:val="32"/>
          <w:szCs w:val="32"/>
          <w:lang w:val="en-US"/>
        </w:rPr>
        <w:t xml:space="preserve">EFFECTS OF EARLY ENTERAL NUTRITION IN PATIENTS WITH MILD ACUTE PANCREATITIS </w:t>
      </w:r>
    </w:p>
    <w:p w:rsidR="00073393" w:rsidRDefault="00073393" w:rsidP="00073393">
      <w:pPr>
        <w:spacing w:after="200" w:line="276" w:lineRule="auto"/>
        <w:rPr>
          <w:rFonts w:ascii="Calibri" w:eastAsia="Calibri" w:hAnsi="Calibri" w:cs="Times New Roman"/>
          <w:i/>
          <w:sz w:val="16"/>
          <w:szCs w:val="16"/>
          <w:lang w:val="es-AR"/>
        </w:rPr>
      </w:pPr>
    </w:p>
    <w:p w:rsidR="00073393" w:rsidRPr="00F87E51" w:rsidRDefault="00073393" w:rsidP="00073393">
      <w:pPr>
        <w:spacing w:after="200" w:line="276" w:lineRule="auto"/>
        <w:rPr>
          <w:rFonts w:ascii="Cambria" w:eastAsia="Calibri" w:hAnsi="Cambria" w:cs="Times New Roman"/>
          <w:b/>
          <w:color w:val="2E74B5" w:themeColor="accent5" w:themeShade="BF"/>
          <w:sz w:val="26"/>
          <w:szCs w:val="26"/>
          <w:lang w:val="es-AR"/>
        </w:rPr>
      </w:pPr>
      <w:r w:rsidRPr="00F87E51">
        <w:rPr>
          <w:rFonts w:ascii="Cambria" w:eastAsia="Calibri" w:hAnsi="Cambria" w:cs="Times New Roman"/>
          <w:b/>
          <w:color w:val="2E74B5" w:themeColor="accent5" w:themeShade="BF"/>
          <w:sz w:val="26"/>
          <w:szCs w:val="26"/>
          <w:lang w:val="es-AR"/>
        </w:rPr>
        <w:t>RESUMEN:</w:t>
      </w:r>
    </w:p>
    <w:p w:rsidR="00073393" w:rsidRPr="00496189" w:rsidRDefault="00073393" w:rsidP="00073393">
      <w:pPr>
        <w:spacing w:after="200" w:line="276" w:lineRule="auto"/>
        <w:rPr>
          <w:rFonts w:ascii="Arial" w:eastAsia="Calibri" w:hAnsi="Arial" w:cs="Arial"/>
          <w:i/>
          <w:sz w:val="24"/>
          <w:szCs w:val="24"/>
          <w:lang w:val="es-AR"/>
        </w:rPr>
      </w:pPr>
      <w:r w:rsidRPr="00F87E51">
        <w:rPr>
          <w:rFonts w:ascii="Arial" w:eastAsia="Calibri" w:hAnsi="Arial" w:cs="Arial"/>
          <w:i/>
          <w:sz w:val="24"/>
          <w:szCs w:val="24"/>
          <w:lang w:val="es-AR"/>
        </w:rPr>
        <w:t>Introducción:</w:t>
      </w:r>
      <w:r>
        <w:rPr>
          <w:rFonts w:ascii="Arial" w:eastAsia="Calibri" w:hAnsi="Arial" w:cs="Arial"/>
          <w:i/>
          <w:sz w:val="24"/>
          <w:szCs w:val="24"/>
          <w:lang w:val="es-AR"/>
        </w:rPr>
        <w:t xml:space="preserve"> </w:t>
      </w:r>
      <w:r w:rsidRPr="00F87E51">
        <w:rPr>
          <w:rFonts w:ascii="Arial" w:eastAsia="Calibri" w:hAnsi="Arial" w:cs="Arial"/>
          <w:sz w:val="24"/>
          <w:szCs w:val="24"/>
          <w:lang w:val="es-AR"/>
        </w:rPr>
        <w:t>La pancreatitis aguda (PA) es una enfermedad inflamatoria del páncreas que abarca un amplio abanico que va desde las formas leves a las críticas. A diferencia de los progresos en el manejo de las PA graves, el de las</w:t>
      </w:r>
      <w:r w:rsidR="0066257F">
        <w:rPr>
          <w:rFonts w:ascii="Arial" w:eastAsia="Calibri" w:hAnsi="Arial" w:cs="Arial"/>
          <w:sz w:val="24"/>
          <w:szCs w:val="24"/>
          <w:lang w:val="es-AR"/>
        </w:rPr>
        <w:t xml:space="preserve"> pancreatitis agudas leves</w:t>
      </w:r>
      <w:r w:rsidRPr="00F87E51">
        <w:rPr>
          <w:rFonts w:ascii="Arial" w:eastAsia="Calibri" w:hAnsi="Arial" w:cs="Arial"/>
          <w:sz w:val="24"/>
          <w:szCs w:val="24"/>
          <w:lang w:val="es-AR"/>
        </w:rPr>
        <w:t xml:space="preserve"> </w:t>
      </w:r>
      <w:r w:rsidR="004B3D1E">
        <w:rPr>
          <w:rFonts w:ascii="Arial" w:eastAsia="Calibri" w:hAnsi="Arial" w:cs="Arial"/>
          <w:sz w:val="24"/>
          <w:szCs w:val="24"/>
          <w:lang w:val="es-AR"/>
        </w:rPr>
        <w:t>(</w:t>
      </w:r>
      <w:r w:rsidRPr="00F87E51">
        <w:rPr>
          <w:rFonts w:ascii="Arial" w:eastAsia="Calibri" w:hAnsi="Arial" w:cs="Arial"/>
          <w:sz w:val="24"/>
          <w:szCs w:val="24"/>
          <w:lang w:val="es-AR"/>
        </w:rPr>
        <w:t>PAL</w:t>
      </w:r>
      <w:r w:rsidR="004B3D1E">
        <w:rPr>
          <w:rFonts w:ascii="Arial" w:eastAsia="Calibri" w:hAnsi="Arial" w:cs="Arial"/>
          <w:sz w:val="24"/>
          <w:szCs w:val="24"/>
          <w:lang w:val="es-AR"/>
        </w:rPr>
        <w:t>),</w:t>
      </w:r>
      <w:r w:rsidRPr="00F87E51">
        <w:rPr>
          <w:rFonts w:ascii="Arial" w:eastAsia="Calibri" w:hAnsi="Arial" w:cs="Arial"/>
          <w:sz w:val="24"/>
          <w:szCs w:val="24"/>
          <w:lang w:val="es-AR"/>
        </w:rPr>
        <w:t xml:space="preserve"> no ha presentado cambios significativos en los últimos años. Tampoco existen trabajos que establezcan una relación clara entre la</w:t>
      </w:r>
      <w:r w:rsidR="004B3D1E">
        <w:rPr>
          <w:rFonts w:ascii="Arial" w:eastAsia="Calibri" w:hAnsi="Arial" w:cs="Arial"/>
          <w:sz w:val="24"/>
          <w:szCs w:val="24"/>
          <w:lang w:val="es-AR"/>
        </w:rPr>
        <w:t xml:space="preserve"> nutrición entre al temprana</w:t>
      </w:r>
      <w:r w:rsidRPr="00F87E51">
        <w:rPr>
          <w:rFonts w:ascii="Arial" w:eastAsia="Calibri" w:hAnsi="Arial" w:cs="Arial"/>
          <w:sz w:val="24"/>
          <w:szCs w:val="24"/>
          <w:lang w:val="es-AR"/>
        </w:rPr>
        <w:t xml:space="preserve"> </w:t>
      </w:r>
      <w:r w:rsidR="00F33372">
        <w:rPr>
          <w:rFonts w:ascii="Arial" w:eastAsia="Calibri" w:hAnsi="Arial" w:cs="Arial"/>
          <w:sz w:val="24"/>
          <w:szCs w:val="24"/>
          <w:lang w:val="es-AR"/>
        </w:rPr>
        <w:t>(</w:t>
      </w:r>
      <w:r w:rsidRPr="00F87E51">
        <w:rPr>
          <w:rFonts w:ascii="Arial" w:eastAsia="Calibri" w:hAnsi="Arial" w:cs="Arial"/>
          <w:sz w:val="24"/>
          <w:szCs w:val="24"/>
          <w:lang w:val="es-AR"/>
        </w:rPr>
        <w:t>NET</w:t>
      </w:r>
      <w:r w:rsidR="00F33372">
        <w:rPr>
          <w:rFonts w:ascii="Arial" w:eastAsia="Calibri" w:hAnsi="Arial" w:cs="Arial"/>
          <w:sz w:val="24"/>
          <w:szCs w:val="24"/>
          <w:lang w:val="es-AR"/>
        </w:rPr>
        <w:t>),</w:t>
      </w:r>
      <w:r w:rsidRPr="00F87E51">
        <w:rPr>
          <w:rFonts w:ascii="Arial" w:eastAsia="Calibri" w:hAnsi="Arial" w:cs="Arial"/>
          <w:sz w:val="24"/>
          <w:szCs w:val="24"/>
          <w:lang w:val="es-AR"/>
        </w:rPr>
        <w:t xml:space="preserve"> en PAL y los niveles de albuminemia y PCR.</w:t>
      </w:r>
    </w:p>
    <w:p w:rsidR="00073393" w:rsidRPr="00496189" w:rsidRDefault="00073393" w:rsidP="00073393">
      <w:pPr>
        <w:spacing w:after="200" w:line="276" w:lineRule="auto"/>
        <w:rPr>
          <w:rFonts w:ascii="Arial" w:eastAsia="Calibri" w:hAnsi="Arial" w:cs="Arial"/>
          <w:i/>
          <w:sz w:val="24"/>
          <w:szCs w:val="24"/>
          <w:lang w:val="es-AR"/>
        </w:rPr>
      </w:pPr>
      <w:r>
        <w:rPr>
          <w:rFonts w:ascii="Arial" w:eastAsia="Calibri" w:hAnsi="Arial" w:cs="Arial"/>
          <w:i/>
          <w:sz w:val="24"/>
          <w:szCs w:val="24"/>
          <w:lang w:val="es-AR"/>
        </w:rPr>
        <w:t>Material y método</w:t>
      </w:r>
      <w:r w:rsidRPr="00F87E51">
        <w:rPr>
          <w:rFonts w:ascii="Arial" w:eastAsia="Calibri" w:hAnsi="Arial" w:cs="Arial"/>
          <w:i/>
          <w:sz w:val="24"/>
          <w:szCs w:val="24"/>
          <w:lang w:val="es-AR"/>
        </w:rPr>
        <w:t>:</w:t>
      </w:r>
      <w:r>
        <w:rPr>
          <w:rFonts w:ascii="Arial" w:eastAsia="Calibri" w:hAnsi="Arial" w:cs="Arial"/>
          <w:i/>
          <w:sz w:val="24"/>
          <w:szCs w:val="24"/>
          <w:lang w:val="es-AR"/>
        </w:rPr>
        <w:t xml:space="preserve"> </w:t>
      </w:r>
      <w:r w:rsidRPr="00F87E51">
        <w:rPr>
          <w:rFonts w:ascii="Arial" w:eastAsia="Calibri" w:hAnsi="Arial" w:cs="Arial"/>
          <w:sz w:val="24"/>
          <w:szCs w:val="24"/>
          <w:lang w:val="es-AR"/>
        </w:rPr>
        <w:t xml:space="preserve">Se realizó un estudio clínico aleatorizado, longitudinal y prospectivo. </w:t>
      </w:r>
      <w:r>
        <w:rPr>
          <w:rFonts w:ascii="Arial" w:eastAsia="Calibri" w:hAnsi="Arial" w:cs="Arial"/>
          <w:sz w:val="24"/>
          <w:szCs w:val="24"/>
          <w:lang w:val="es-AR"/>
        </w:rPr>
        <w:t>L</w:t>
      </w:r>
      <w:r w:rsidRPr="00F87E51">
        <w:rPr>
          <w:rFonts w:ascii="Arial" w:eastAsia="Calibri" w:hAnsi="Arial" w:cs="Arial"/>
          <w:sz w:val="24"/>
          <w:szCs w:val="24"/>
          <w:lang w:val="es-AR"/>
        </w:rPr>
        <w:t xml:space="preserve">os pacientes fueron divididos en 2 grupos. </w:t>
      </w:r>
      <w:r>
        <w:rPr>
          <w:rFonts w:ascii="Arial" w:eastAsia="Calibri" w:hAnsi="Arial" w:cs="Arial"/>
          <w:sz w:val="24"/>
          <w:szCs w:val="24"/>
          <w:lang w:val="es-AR"/>
        </w:rPr>
        <w:t>El</w:t>
      </w:r>
      <w:r w:rsidRPr="00F87E51">
        <w:rPr>
          <w:rFonts w:ascii="Arial" w:eastAsia="Calibri" w:hAnsi="Arial" w:cs="Arial"/>
          <w:sz w:val="24"/>
          <w:szCs w:val="24"/>
          <w:lang w:val="es-AR"/>
        </w:rPr>
        <w:t xml:space="preserve"> experimental </w:t>
      </w:r>
      <w:r>
        <w:rPr>
          <w:rFonts w:ascii="Arial" w:eastAsia="Calibri" w:hAnsi="Arial" w:cs="Arial"/>
          <w:sz w:val="24"/>
          <w:szCs w:val="24"/>
          <w:lang w:val="es-AR"/>
        </w:rPr>
        <w:t xml:space="preserve">(G1) </w:t>
      </w:r>
      <w:r w:rsidRPr="00F87E51">
        <w:rPr>
          <w:rFonts w:ascii="Arial" w:eastAsia="Calibri" w:hAnsi="Arial" w:cs="Arial"/>
          <w:sz w:val="24"/>
          <w:szCs w:val="24"/>
          <w:lang w:val="es-AR"/>
        </w:rPr>
        <w:t>se le indicó desde el ingreso una di</w:t>
      </w:r>
      <w:r w:rsidR="00EC4486">
        <w:rPr>
          <w:rFonts w:ascii="Arial" w:eastAsia="Calibri" w:hAnsi="Arial" w:cs="Arial"/>
          <w:sz w:val="24"/>
          <w:szCs w:val="24"/>
          <w:lang w:val="es-AR"/>
        </w:rPr>
        <w:t>eta hiperproteica baja en colecistokineticos</w:t>
      </w:r>
      <w:r w:rsidRPr="00F87E51">
        <w:rPr>
          <w:rFonts w:ascii="Arial" w:eastAsia="Calibri" w:hAnsi="Arial" w:cs="Arial"/>
          <w:sz w:val="24"/>
          <w:szCs w:val="24"/>
          <w:lang w:val="es-AR"/>
        </w:rPr>
        <w:t xml:space="preserve">, y al grupo control </w:t>
      </w:r>
      <w:r>
        <w:rPr>
          <w:rFonts w:ascii="Arial" w:eastAsia="Calibri" w:hAnsi="Arial" w:cs="Arial"/>
          <w:sz w:val="24"/>
          <w:szCs w:val="24"/>
          <w:lang w:val="es-AR"/>
        </w:rPr>
        <w:t xml:space="preserve">(G2) </w:t>
      </w:r>
      <w:r w:rsidRPr="00F87E51">
        <w:rPr>
          <w:rFonts w:ascii="Arial" w:eastAsia="Calibri" w:hAnsi="Arial" w:cs="Arial"/>
          <w:sz w:val="24"/>
          <w:szCs w:val="24"/>
          <w:lang w:val="es-AR"/>
        </w:rPr>
        <w:t>nada por boca.</w:t>
      </w:r>
    </w:p>
    <w:p w:rsidR="00073393" w:rsidRPr="00496189" w:rsidRDefault="00073393" w:rsidP="00073393">
      <w:pPr>
        <w:spacing w:after="200" w:line="276" w:lineRule="auto"/>
        <w:rPr>
          <w:rFonts w:ascii="Arial" w:eastAsia="Calibri" w:hAnsi="Arial" w:cs="Arial"/>
          <w:i/>
          <w:sz w:val="24"/>
          <w:szCs w:val="24"/>
          <w:lang w:val="es-AR"/>
        </w:rPr>
      </w:pPr>
      <w:r w:rsidRPr="00F87E51">
        <w:rPr>
          <w:rFonts w:ascii="Arial" w:eastAsia="Calibri" w:hAnsi="Arial" w:cs="Arial"/>
          <w:i/>
          <w:sz w:val="24"/>
          <w:szCs w:val="24"/>
          <w:lang w:val="es-AR"/>
        </w:rPr>
        <w:t>Resultados:</w:t>
      </w:r>
      <w:r>
        <w:rPr>
          <w:rFonts w:ascii="Arial" w:eastAsia="Calibri" w:hAnsi="Arial" w:cs="Arial"/>
          <w:i/>
          <w:sz w:val="24"/>
          <w:szCs w:val="24"/>
          <w:lang w:val="es-AR"/>
        </w:rPr>
        <w:t xml:space="preserve"> </w:t>
      </w:r>
      <w:r w:rsidRPr="00F87E51">
        <w:rPr>
          <w:rFonts w:ascii="Arial" w:eastAsia="Calibri" w:hAnsi="Arial" w:cs="Arial"/>
          <w:sz w:val="24"/>
          <w:szCs w:val="24"/>
          <w:lang w:val="es-AR"/>
        </w:rPr>
        <w:t xml:space="preserve">19 pacientes fueron distribuidos aleatoriamente en un 57,89% en el </w:t>
      </w:r>
      <w:r>
        <w:rPr>
          <w:rFonts w:ascii="Arial" w:eastAsia="Calibri" w:hAnsi="Arial" w:cs="Arial"/>
          <w:sz w:val="24"/>
          <w:szCs w:val="24"/>
          <w:lang w:val="es-AR"/>
        </w:rPr>
        <w:t>G2</w:t>
      </w:r>
      <w:r w:rsidRPr="00F87E51">
        <w:rPr>
          <w:rFonts w:ascii="Arial" w:eastAsia="Calibri" w:hAnsi="Arial" w:cs="Arial"/>
          <w:sz w:val="24"/>
          <w:szCs w:val="24"/>
          <w:lang w:val="es-AR"/>
        </w:rPr>
        <w:t xml:space="preserve"> y el 42,11% en el </w:t>
      </w:r>
      <w:r>
        <w:rPr>
          <w:rFonts w:ascii="Arial" w:eastAsia="Calibri" w:hAnsi="Arial" w:cs="Arial"/>
          <w:sz w:val="24"/>
          <w:szCs w:val="24"/>
          <w:lang w:val="es-AR"/>
        </w:rPr>
        <w:t>G1</w:t>
      </w:r>
      <w:r w:rsidRPr="00F87E51">
        <w:rPr>
          <w:rFonts w:ascii="Arial" w:eastAsia="Calibri" w:hAnsi="Arial" w:cs="Arial"/>
          <w:sz w:val="24"/>
          <w:szCs w:val="24"/>
          <w:lang w:val="es-AR"/>
        </w:rPr>
        <w:t xml:space="preserve">.  El </w:t>
      </w:r>
      <w:r>
        <w:rPr>
          <w:rFonts w:ascii="Arial" w:eastAsia="Calibri" w:hAnsi="Arial" w:cs="Arial"/>
          <w:sz w:val="24"/>
          <w:szCs w:val="24"/>
          <w:lang w:val="es-AR"/>
        </w:rPr>
        <w:t>G2</w:t>
      </w:r>
      <w:r w:rsidRPr="00F87E51">
        <w:rPr>
          <w:rFonts w:ascii="Arial" w:eastAsia="Calibri" w:hAnsi="Arial" w:cs="Arial"/>
          <w:sz w:val="24"/>
          <w:szCs w:val="24"/>
          <w:lang w:val="es-AR"/>
        </w:rPr>
        <w:t xml:space="preserve"> presentó un mayor promedio de estadía hospitalaria en relación con el grupo experimental, tales diferencias no fueron significativas (p &gt;0,05). El </w:t>
      </w:r>
      <w:r>
        <w:rPr>
          <w:rFonts w:ascii="Arial" w:eastAsia="Calibri" w:hAnsi="Arial" w:cs="Arial"/>
          <w:sz w:val="24"/>
          <w:szCs w:val="24"/>
          <w:lang w:val="es-AR"/>
        </w:rPr>
        <w:t>G1</w:t>
      </w:r>
      <w:r w:rsidRPr="00F87E51">
        <w:rPr>
          <w:rFonts w:ascii="Arial" w:eastAsia="Calibri" w:hAnsi="Arial" w:cs="Arial"/>
          <w:sz w:val="24"/>
          <w:szCs w:val="24"/>
          <w:lang w:val="es-AR"/>
        </w:rPr>
        <w:t xml:space="preserve"> presentó valores mayores de PCR, en relación con el </w:t>
      </w:r>
      <w:r>
        <w:rPr>
          <w:rFonts w:ascii="Arial" w:eastAsia="Calibri" w:hAnsi="Arial" w:cs="Arial"/>
          <w:sz w:val="24"/>
          <w:szCs w:val="24"/>
          <w:lang w:val="es-AR"/>
        </w:rPr>
        <w:t>G2</w:t>
      </w:r>
      <w:r w:rsidRPr="00F87E51">
        <w:rPr>
          <w:rFonts w:ascii="Arial" w:eastAsia="Calibri" w:hAnsi="Arial" w:cs="Arial"/>
          <w:sz w:val="24"/>
          <w:szCs w:val="24"/>
          <w:lang w:val="es-AR"/>
        </w:rPr>
        <w:t xml:space="preserve"> de manera significativa (p ≤0,05). Se registró un descenso de los niveles de albumina en ambos grupos (p ≤0,05). Se observó en ambos, que a medida que aumenta</w:t>
      </w:r>
      <w:r>
        <w:rPr>
          <w:rFonts w:ascii="Arial" w:eastAsia="Calibri" w:hAnsi="Arial" w:cs="Arial"/>
          <w:sz w:val="24"/>
          <w:szCs w:val="24"/>
          <w:lang w:val="es-AR"/>
        </w:rPr>
        <w:t>ron</w:t>
      </w:r>
      <w:r w:rsidRPr="00F87E51">
        <w:rPr>
          <w:rFonts w:ascii="Arial" w:eastAsia="Calibri" w:hAnsi="Arial" w:cs="Arial"/>
          <w:sz w:val="24"/>
          <w:szCs w:val="24"/>
          <w:lang w:val="es-AR"/>
        </w:rPr>
        <w:t xml:space="preserve"> los niveles de PCR, disminuye</w:t>
      </w:r>
      <w:r>
        <w:rPr>
          <w:rFonts w:ascii="Arial" w:eastAsia="Calibri" w:hAnsi="Arial" w:cs="Arial"/>
          <w:sz w:val="24"/>
          <w:szCs w:val="24"/>
          <w:lang w:val="es-AR"/>
        </w:rPr>
        <w:t xml:space="preserve">ron </w:t>
      </w:r>
      <w:r w:rsidRPr="00F87E51">
        <w:rPr>
          <w:rFonts w:ascii="Arial" w:eastAsia="Calibri" w:hAnsi="Arial" w:cs="Arial"/>
          <w:sz w:val="24"/>
          <w:szCs w:val="24"/>
          <w:lang w:val="es-AR"/>
        </w:rPr>
        <w:t>los de albumina de manera significativa (p&lt;0,01).</w:t>
      </w:r>
    </w:p>
    <w:p w:rsidR="00073393" w:rsidRPr="00496189" w:rsidRDefault="00073393" w:rsidP="00073393">
      <w:pPr>
        <w:spacing w:after="200" w:line="276" w:lineRule="auto"/>
        <w:rPr>
          <w:rFonts w:ascii="Arial" w:eastAsia="Calibri" w:hAnsi="Arial" w:cs="Arial"/>
          <w:i/>
          <w:sz w:val="24"/>
          <w:szCs w:val="24"/>
          <w:lang w:val="es-AR"/>
        </w:rPr>
      </w:pPr>
      <w:r w:rsidRPr="00F87E51">
        <w:rPr>
          <w:rFonts w:ascii="Arial" w:eastAsia="Calibri" w:hAnsi="Arial" w:cs="Arial"/>
          <w:i/>
          <w:sz w:val="24"/>
          <w:szCs w:val="24"/>
          <w:lang w:val="es-AR"/>
        </w:rPr>
        <w:t>Conclusiones:</w:t>
      </w:r>
      <w:r>
        <w:rPr>
          <w:rFonts w:ascii="Arial" w:eastAsia="Calibri" w:hAnsi="Arial" w:cs="Arial"/>
          <w:i/>
          <w:sz w:val="24"/>
          <w:szCs w:val="24"/>
          <w:lang w:val="es-AR"/>
        </w:rPr>
        <w:t xml:space="preserve"> </w:t>
      </w:r>
      <w:r w:rsidRPr="00F87E51">
        <w:rPr>
          <w:rFonts w:ascii="Arial" w:eastAsia="Calibri" w:hAnsi="Arial" w:cs="Arial"/>
          <w:sz w:val="24"/>
          <w:szCs w:val="24"/>
          <w:lang w:val="es-AR"/>
        </w:rPr>
        <w:t xml:space="preserve">Los niveles de albuminemia descendieron de manera significativa en ambos grupos, y dicho descenso fue más marcado en el grupo que recibió NET.  El descenso de la albuminemia tuvo una correlación directa con los niveles de PCR, los cuales fueron mayores en el </w:t>
      </w:r>
      <w:r w:rsidR="00071781">
        <w:rPr>
          <w:rFonts w:ascii="Arial" w:eastAsia="Calibri" w:hAnsi="Arial" w:cs="Arial"/>
          <w:sz w:val="24"/>
          <w:szCs w:val="24"/>
          <w:lang w:val="es-AR"/>
        </w:rPr>
        <w:t>grupo experimental</w:t>
      </w:r>
      <w:r w:rsidRPr="00F87E51">
        <w:rPr>
          <w:rFonts w:ascii="Arial" w:eastAsia="Calibri" w:hAnsi="Arial" w:cs="Arial"/>
          <w:sz w:val="24"/>
          <w:szCs w:val="24"/>
          <w:lang w:val="es-AR"/>
        </w:rPr>
        <w:t>.</w:t>
      </w:r>
    </w:p>
    <w:p w:rsidR="00073393" w:rsidRPr="004478FC" w:rsidRDefault="00073393" w:rsidP="00073393">
      <w:pPr>
        <w:spacing w:after="200" w:line="276" w:lineRule="auto"/>
        <w:rPr>
          <w:rFonts w:ascii="Cambria" w:eastAsia="Calibri" w:hAnsi="Cambria" w:cs="Arial"/>
          <w:b/>
          <w:color w:val="2E74B5" w:themeColor="accent5" w:themeShade="BF"/>
          <w:sz w:val="28"/>
          <w:szCs w:val="28"/>
          <w:lang w:val="en-US"/>
        </w:rPr>
      </w:pPr>
      <w:r w:rsidRPr="004478FC">
        <w:rPr>
          <w:rFonts w:ascii="Cambria" w:eastAsia="Calibri" w:hAnsi="Cambria" w:cs="Arial"/>
          <w:b/>
          <w:color w:val="2E74B5" w:themeColor="accent5" w:themeShade="BF"/>
          <w:sz w:val="28"/>
          <w:szCs w:val="28"/>
          <w:lang w:val="en-US"/>
        </w:rPr>
        <w:t>Abstract:</w:t>
      </w:r>
    </w:p>
    <w:p w:rsidR="00073393" w:rsidRPr="00DD29D1" w:rsidRDefault="00073393" w:rsidP="00073393">
      <w:pPr>
        <w:rPr>
          <w:rFonts w:ascii="Arial" w:eastAsia="Calibri" w:hAnsi="Arial" w:cs="Arial"/>
          <w:i/>
          <w:sz w:val="24"/>
          <w:szCs w:val="24"/>
          <w:lang w:val="en-US"/>
        </w:rPr>
      </w:pPr>
      <w:r w:rsidRPr="00504CCD">
        <w:rPr>
          <w:rFonts w:ascii="Arial" w:eastAsia="Calibri" w:hAnsi="Arial" w:cs="Arial"/>
          <w:i/>
          <w:sz w:val="24"/>
          <w:szCs w:val="24"/>
          <w:lang w:val="en-US"/>
        </w:rPr>
        <w:t>Introduction:</w:t>
      </w:r>
      <w:r>
        <w:rPr>
          <w:rFonts w:ascii="Arial" w:eastAsia="Calibri" w:hAnsi="Arial" w:cs="Arial"/>
          <w:i/>
          <w:sz w:val="24"/>
          <w:szCs w:val="24"/>
          <w:lang w:val="en-US"/>
        </w:rPr>
        <w:t xml:space="preserve"> </w:t>
      </w:r>
      <w:r w:rsidRPr="00504CCD">
        <w:rPr>
          <w:rFonts w:ascii="Arial" w:eastAsia="Calibri" w:hAnsi="Arial" w:cs="Arial"/>
          <w:sz w:val="24"/>
          <w:szCs w:val="24"/>
          <w:lang w:val="en-US"/>
        </w:rPr>
        <w:t xml:space="preserve">Acute pancreatitis (AP) is an inflammatory disease of the pancreas that spans a wide range ranging from mild to critical forms. Contrary to the progress in the </w:t>
      </w:r>
      <w:r>
        <w:rPr>
          <w:rFonts w:ascii="Arial" w:eastAsia="Calibri" w:hAnsi="Arial" w:cs="Arial"/>
          <w:sz w:val="24"/>
          <w:szCs w:val="24"/>
          <w:lang w:val="en-US"/>
        </w:rPr>
        <w:t>management of severe AP, the</w:t>
      </w:r>
      <w:r w:rsidR="00071781">
        <w:rPr>
          <w:rFonts w:ascii="Arial" w:eastAsia="Calibri" w:hAnsi="Arial" w:cs="Arial"/>
          <w:sz w:val="24"/>
          <w:szCs w:val="24"/>
          <w:lang w:val="en-US"/>
        </w:rPr>
        <w:t xml:space="preserve"> mild1 actúe pancreatitis</w:t>
      </w:r>
      <w:r>
        <w:rPr>
          <w:rFonts w:ascii="Arial" w:eastAsia="Calibri" w:hAnsi="Arial" w:cs="Arial"/>
          <w:sz w:val="24"/>
          <w:szCs w:val="24"/>
          <w:lang w:val="en-US"/>
        </w:rPr>
        <w:t xml:space="preserve"> </w:t>
      </w:r>
      <w:r w:rsidR="00060F5C">
        <w:rPr>
          <w:rFonts w:ascii="Arial" w:eastAsia="Calibri" w:hAnsi="Arial" w:cs="Arial"/>
          <w:sz w:val="24"/>
          <w:szCs w:val="24"/>
          <w:lang w:val="en-US"/>
        </w:rPr>
        <w:t>(</w:t>
      </w:r>
      <w:r>
        <w:rPr>
          <w:rFonts w:ascii="Arial" w:eastAsia="Calibri" w:hAnsi="Arial" w:cs="Arial"/>
          <w:sz w:val="24"/>
          <w:szCs w:val="24"/>
          <w:lang w:val="en-US"/>
        </w:rPr>
        <w:t>MAP</w:t>
      </w:r>
      <w:r w:rsidR="00060F5C">
        <w:rPr>
          <w:rFonts w:ascii="Arial" w:eastAsia="Calibri" w:hAnsi="Arial" w:cs="Arial"/>
          <w:sz w:val="24"/>
          <w:szCs w:val="24"/>
          <w:lang w:val="en-US"/>
        </w:rPr>
        <w:t>),</w:t>
      </w:r>
      <w:r w:rsidRPr="00504CCD">
        <w:rPr>
          <w:rFonts w:ascii="Arial" w:eastAsia="Calibri" w:hAnsi="Arial" w:cs="Arial"/>
          <w:sz w:val="24"/>
          <w:szCs w:val="24"/>
          <w:lang w:val="en-US"/>
        </w:rPr>
        <w:t xml:space="preserve"> has not presented significant changes in recent years. There are also no studies that establish </w:t>
      </w:r>
      <w:r>
        <w:rPr>
          <w:rFonts w:ascii="Arial" w:eastAsia="Calibri" w:hAnsi="Arial" w:cs="Arial"/>
          <w:sz w:val="24"/>
          <w:szCs w:val="24"/>
          <w:lang w:val="en-US"/>
        </w:rPr>
        <w:t>a clear relationship between</w:t>
      </w:r>
      <w:r w:rsidR="00060F5C">
        <w:rPr>
          <w:rFonts w:ascii="Arial" w:eastAsia="Calibri" w:hAnsi="Arial" w:cs="Arial"/>
          <w:sz w:val="24"/>
          <w:szCs w:val="24"/>
          <w:lang w:val="en-US"/>
        </w:rPr>
        <w:t xml:space="preserve"> erly enteral nutrition</w:t>
      </w:r>
      <w:r>
        <w:rPr>
          <w:rFonts w:ascii="Arial" w:eastAsia="Calibri" w:hAnsi="Arial" w:cs="Arial"/>
          <w:sz w:val="24"/>
          <w:szCs w:val="24"/>
          <w:lang w:val="en-US"/>
        </w:rPr>
        <w:t xml:space="preserve"> </w:t>
      </w:r>
      <w:r w:rsidR="009C3CEC">
        <w:rPr>
          <w:rFonts w:ascii="Arial" w:eastAsia="Calibri" w:hAnsi="Arial" w:cs="Arial"/>
          <w:sz w:val="24"/>
          <w:szCs w:val="24"/>
          <w:lang w:val="en-US"/>
        </w:rPr>
        <w:t>(</w:t>
      </w:r>
      <w:r>
        <w:rPr>
          <w:rFonts w:ascii="Arial" w:eastAsia="Calibri" w:hAnsi="Arial" w:cs="Arial"/>
          <w:sz w:val="24"/>
          <w:szCs w:val="24"/>
          <w:lang w:val="en-US"/>
        </w:rPr>
        <w:t>EEN</w:t>
      </w:r>
      <w:r w:rsidR="009C3CEC">
        <w:rPr>
          <w:rFonts w:ascii="Arial" w:eastAsia="Calibri" w:hAnsi="Arial" w:cs="Arial"/>
          <w:sz w:val="24"/>
          <w:szCs w:val="24"/>
          <w:lang w:val="en-US"/>
        </w:rPr>
        <w:t>),</w:t>
      </w:r>
      <w:r>
        <w:rPr>
          <w:rFonts w:ascii="Arial" w:eastAsia="Calibri" w:hAnsi="Arial" w:cs="Arial"/>
          <w:sz w:val="24"/>
          <w:szCs w:val="24"/>
          <w:lang w:val="en-US"/>
        </w:rPr>
        <w:t xml:space="preserve"> in MAP</w:t>
      </w:r>
      <w:r w:rsidRPr="00504CCD">
        <w:rPr>
          <w:rFonts w:ascii="Arial" w:eastAsia="Calibri" w:hAnsi="Arial" w:cs="Arial"/>
          <w:sz w:val="24"/>
          <w:szCs w:val="24"/>
          <w:lang w:val="en-US"/>
        </w:rPr>
        <w:t xml:space="preserve"> and levels of albuminemia and CRP.</w:t>
      </w:r>
    </w:p>
    <w:p w:rsidR="00073393" w:rsidRPr="00DD29D1" w:rsidRDefault="00073393" w:rsidP="00073393">
      <w:pPr>
        <w:rPr>
          <w:rFonts w:ascii="Arial" w:eastAsia="Calibri" w:hAnsi="Arial" w:cs="Arial"/>
          <w:i/>
          <w:sz w:val="24"/>
          <w:szCs w:val="24"/>
          <w:lang w:val="en-US"/>
        </w:rPr>
      </w:pPr>
      <w:r w:rsidRPr="00504CCD">
        <w:rPr>
          <w:rFonts w:ascii="Arial" w:eastAsia="Calibri" w:hAnsi="Arial" w:cs="Arial"/>
          <w:i/>
          <w:sz w:val="24"/>
          <w:szCs w:val="24"/>
          <w:lang w:val="en-US"/>
        </w:rPr>
        <w:t>Materials and methods:</w:t>
      </w:r>
      <w:r>
        <w:rPr>
          <w:rFonts w:ascii="Arial" w:eastAsia="Calibri" w:hAnsi="Arial" w:cs="Arial"/>
          <w:i/>
          <w:sz w:val="24"/>
          <w:szCs w:val="24"/>
          <w:lang w:val="en-US"/>
        </w:rPr>
        <w:t xml:space="preserve"> </w:t>
      </w:r>
      <w:r w:rsidRPr="00504CCD">
        <w:rPr>
          <w:rFonts w:ascii="Arial" w:eastAsia="Calibri" w:hAnsi="Arial" w:cs="Arial"/>
          <w:sz w:val="24"/>
          <w:szCs w:val="24"/>
          <w:lang w:val="en-US"/>
        </w:rPr>
        <w:t xml:space="preserve">A randomized, longitudinal and prospective clinical study was conducted. Patients were divided into 2 groups. The experimental group </w:t>
      </w:r>
      <w:r>
        <w:rPr>
          <w:rFonts w:ascii="Arial" w:eastAsia="Calibri" w:hAnsi="Arial" w:cs="Arial"/>
          <w:sz w:val="24"/>
          <w:szCs w:val="24"/>
          <w:lang w:val="en-US"/>
        </w:rPr>
        <w:t xml:space="preserve">(G1) </w:t>
      </w:r>
      <w:r w:rsidRPr="00504CCD">
        <w:rPr>
          <w:rFonts w:ascii="Arial" w:eastAsia="Calibri" w:hAnsi="Arial" w:cs="Arial"/>
          <w:sz w:val="24"/>
          <w:szCs w:val="24"/>
          <w:lang w:val="en-US"/>
        </w:rPr>
        <w:t>was indicated from the entrance a d</w:t>
      </w:r>
      <w:r w:rsidR="00EC4486">
        <w:rPr>
          <w:rFonts w:ascii="Arial" w:eastAsia="Calibri" w:hAnsi="Arial" w:cs="Arial"/>
          <w:sz w:val="24"/>
          <w:szCs w:val="24"/>
          <w:lang w:val="en-US"/>
        </w:rPr>
        <w:t xml:space="preserve">iet </w:t>
      </w:r>
      <w:r>
        <w:rPr>
          <w:rFonts w:ascii="Arial" w:eastAsia="Calibri" w:hAnsi="Arial" w:cs="Arial"/>
          <w:sz w:val="24"/>
          <w:szCs w:val="24"/>
          <w:lang w:val="en-US"/>
        </w:rPr>
        <w:t xml:space="preserve"> h</w:t>
      </w:r>
      <w:r w:rsidRPr="008C461D">
        <w:rPr>
          <w:rFonts w:ascii="Arial" w:eastAsia="Calibri" w:hAnsi="Arial" w:cs="Arial"/>
          <w:sz w:val="24"/>
          <w:szCs w:val="24"/>
          <w:lang w:val="en-US"/>
        </w:rPr>
        <w:t xml:space="preserve">yperproteic </w:t>
      </w:r>
      <w:r w:rsidR="00EC4486">
        <w:rPr>
          <w:rFonts w:ascii="Arial" w:eastAsia="Calibri" w:hAnsi="Arial" w:cs="Arial"/>
          <w:sz w:val="24"/>
          <w:szCs w:val="24"/>
          <w:lang w:val="en-US"/>
        </w:rPr>
        <w:t xml:space="preserve">low in colecistokinetics </w:t>
      </w:r>
      <w:r w:rsidRPr="008C461D">
        <w:rPr>
          <w:rFonts w:ascii="Arial" w:eastAsia="Calibri" w:hAnsi="Arial" w:cs="Arial"/>
          <w:sz w:val="24"/>
          <w:szCs w:val="24"/>
          <w:lang w:val="en-US"/>
        </w:rPr>
        <w:t>diet</w:t>
      </w:r>
      <w:r w:rsidRPr="00504CCD">
        <w:rPr>
          <w:rFonts w:ascii="Arial" w:eastAsia="Calibri" w:hAnsi="Arial" w:cs="Arial"/>
          <w:sz w:val="24"/>
          <w:szCs w:val="24"/>
          <w:lang w:val="en-US"/>
        </w:rPr>
        <w:t xml:space="preserve">, and to the control group </w:t>
      </w:r>
      <w:r>
        <w:rPr>
          <w:rFonts w:ascii="Arial" w:eastAsia="Calibri" w:hAnsi="Arial" w:cs="Arial"/>
          <w:sz w:val="24"/>
          <w:szCs w:val="24"/>
          <w:lang w:val="en-US"/>
        </w:rPr>
        <w:t xml:space="preserve">(G2) </w:t>
      </w:r>
      <w:r w:rsidRPr="00504CCD">
        <w:rPr>
          <w:rFonts w:ascii="Arial" w:eastAsia="Calibri" w:hAnsi="Arial" w:cs="Arial"/>
          <w:sz w:val="24"/>
          <w:szCs w:val="24"/>
          <w:lang w:val="en-US"/>
        </w:rPr>
        <w:t>nothing by mouth.</w:t>
      </w:r>
    </w:p>
    <w:p w:rsidR="00073393" w:rsidRPr="00F72D92" w:rsidRDefault="00073393" w:rsidP="00073393">
      <w:pPr>
        <w:rPr>
          <w:rFonts w:ascii="Arial" w:eastAsia="Calibri" w:hAnsi="Arial" w:cs="Arial"/>
          <w:i/>
          <w:sz w:val="24"/>
          <w:szCs w:val="24"/>
          <w:lang w:val="en-US"/>
        </w:rPr>
      </w:pPr>
      <w:r w:rsidRPr="00504CCD">
        <w:rPr>
          <w:rFonts w:ascii="Arial" w:eastAsia="Calibri" w:hAnsi="Arial" w:cs="Arial"/>
          <w:i/>
          <w:sz w:val="24"/>
          <w:szCs w:val="24"/>
          <w:lang w:val="en-US"/>
        </w:rPr>
        <w:t>Results:</w:t>
      </w:r>
      <w:r>
        <w:rPr>
          <w:rFonts w:ascii="Arial" w:eastAsia="Calibri" w:hAnsi="Arial" w:cs="Arial"/>
          <w:i/>
          <w:sz w:val="24"/>
          <w:szCs w:val="24"/>
          <w:lang w:val="en-US"/>
        </w:rPr>
        <w:t xml:space="preserve"> </w:t>
      </w:r>
      <w:r w:rsidRPr="00504CCD">
        <w:rPr>
          <w:rFonts w:ascii="Arial" w:eastAsia="Calibri" w:hAnsi="Arial" w:cs="Arial"/>
          <w:sz w:val="24"/>
          <w:szCs w:val="24"/>
          <w:lang w:val="en-US"/>
        </w:rPr>
        <w:t xml:space="preserve">19 patients were randomly distributed in 57.89% in the </w:t>
      </w:r>
      <w:r>
        <w:rPr>
          <w:rFonts w:ascii="Arial" w:eastAsia="Calibri" w:hAnsi="Arial" w:cs="Arial"/>
          <w:sz w:val="24"/>
          <w:szCs w:val="24"/>
          <w:lang w:val="en-US"/>
        </w:rPr>
        <w:t>G2</w:t>
      </w:r>
      <w:r w:rsidRPr="00504CCD">
        <w:rPr>
          <w:rFonts w:ascii="Arial" w:eastAsia="Calibri" w:hAnsi="Arial" w:cs="Arial"/>
          <w:sz w:val="24"/>
          <w:szCs w:val="24"/>
          <w:lang w:val="en-US"/>
        </w:rPr>
        <w:t xml:space="preserve"> and 42.11% in the </w:t>
      </w:r>
      <w:r>
        <w:rPr>
          <w:rFonts w:ascii="Arial" w:eastAsia="Calibri" w:hAnsi="Arial" w:cs="Arial"/>
          <w:sz w:val="24"/>
          <w:szCs w:val="24"/>
          <w:lang w:val="en-US"/>
        </w:rPr>
        <w:t>G1</w:t>
      </w:r>
      <w:r w:rsidRPr="00504CCD">
        <w:rPr>
          <w:rFonts w:ascii="Arial" w:eastAsia="Calibri" w:hAnsi="Arial" w:cs="Arial"/>
          <w:sz w:val="24"/>
          <w:szCs w:val="24"/>
          <w:lang w:val="en-US"/>
        </w:rPr>
        <w:t xml:space="preserve">. The </w:t>
      </w:r>
      <w:r>
        <w:rPr>
          <w:rFonts w:ascii="Arial" w:eastAsia="Calibri" w:hAnsi="Arial" w:cs="Arial"/>
          <w:sz w:val="24"/>
          <w:szCs w:val="24"/>
          <w:lang w:val="en-US"/>
        </w:rPr>
        <w:t>G1</w:t>
      </w:r>
      <w:r w:rsidRPr="00504CCD">
        <w:rPr>
          <w:rFonts w:ascii="Arial" w:eastAsia="Calibri" w:hAnsi="Arial" w:cs="Arial"/>
          <w:sz w:val="24"/>
          <w:szCs w:val="24"/>
          <w:lang w:val="en-US"/>
        </w:rPr>
        <w:t xml:space="preserve"> presented a higher average hospital stay in relation to the </w:t>
      </w:r>
      <w:r>
        <w:rPr>
          <w:rFonts w:ascii="Arial" w:eastAsia="Calibri" w:hAnsi="Arial" w:cs="Arial"/>
          <w:sz w:val="24"/>
          <w:szCs w:val="24"/>
          <w:lang w:val="en-US"/>
        </w:rPr>
        <w:t>G2</w:t>
      </w:r>
      <w:r w:rsidRPr="00504CCD">
        <w:rPr>
          <w:rFonts w:ascii="Arial" w:eastAsia="Calibri" w:hAnsi="Arial" w:cs="Arial"/>
          <w:sz w:val="24"/>
          <w:szCs w:val="24"/>
          <w:lang w:val="en-US"/>
        </w:rPr>
        <w:t xml:space="preserve">, such differences were not significant (p&gt; 0.05). The </w:t>
      </w:r>
      <w:r>
        <w:rPr>
          <w:rFonts w:ascii="Arial" w:eastAsia="Calibri" w:hAnsi="Arial" w:cs="Arial"/>
          <w:sz w:val="24"/>
          <w:szCs w:val="24"/>
          <w:lang w:val="en-US"/>
        </w:rPr>
        <w:t>G1</w:t>
      </w:r>
      <w:r w:rsidRPr="00504CCD">
        <w:rPr>
          <w:rFonts w:ascii="Arial" w:eastAsia="Calibri" w:hAnsi="Arial" w:cs="Arial"/>
          <w:sz w:val="24"/>
          <w:szCs w:val="24"/>
          <w:lang w:val="en-US"/>
        </w:rPr>
        <w:t xml:space="preserve"> presented higher values ​​of CRP in relation to the </w:t>
      </w:r>
      <w:r>
        <w:rPr>
          <w:rFonts w:ascii="Arial" w:eastAsia="Calibri" w:hAnsi="Arial" w:cs="Arial"/>
          <w:sz w:val="24"/>
          <w:szCs w:val="24"/>
          <w:lang w:val="en-US"/>
        </w:rPr>
        <w:t>G2</w:t>
      </w:r>
      <w:r w:rsidRPr="00504CCD">
        <w:rPr>
          <w:rFonts w:ascii="Arial" w:eastAsia="Calibri" w:hAnsi="Arial" w:cs="Arial"/>
          <w:sz w:val="24"/>
          <w:szCs w:val="24"/>
          <w:lang w:val="en-US"/>
        </w:rPr>
        <w:t xml:space="preserve"> significantly (p ≤0.05). There was a decrease in albumin levels in both groups (p ≤0.05). It was observed in both groups that, as CRP levels increase</w:t>
      </w:r>
      <w:r>
        <w:rPr>
          <w:rFonts w:ascii="Arial" w:eastAsia="Calibri" w:hAnsi="Arial" w:cs="Arial"/>
          <w:sz w:val="24"/>
          <w:szCs w:val="24"/>
          <w:lang w:val="en-US"/>
        </w:rPr>
        <w:t>d</w:t>
      </w:r>
      <w:r w:rsidRPr="00504CCD">
        <w:rPr>
          <w:rFonts w:ascii="Arial" w:eastAsia="Calibri" w:hAnsi="Arial" w:cs="Arial"/>
          <w:sz w:val="24"/>
          <w:szCs w:val="24"/>
          <w:lang w:val="en-US"/>
        </w:rPr>
        <w:t>, albumin levels decreased significantly (p &lt;0.01).</w:t>
      </w:r>
    </w:p>
    <w:p w:rsidR="00073393" w:rsidRPr="009E5EDF" w:rsidRDefault="00073393" w:rsidP="00073393">
      <w:pPr>
        <w:rPr>
          <w:rFonts w:ascii="Arial" w:eastAsia="Calibri" w:hAnsi="Arial" w:cs="Arial"/>
          <w:i/>
          <w:sz w:val="24"/>
          <w:szCs w:val="24"/>
          <w:lang w:val="en-US"/>
        </w:rPr>
      </w:pPr>
      <w:r w:rsidRPr="008C461D">
        <w:rPr>
          <w:rFonts w:ascii="Arial" w:eastAsia="Calibri" w:hAnsi="Arial" w:cs="Arial"/>
          <w:i/>
          <w:sz w:val="24"/>
          <w:szCs w:val="24"/>
          <w:lang w:val="en-US"/>
        </w:rPr>
        <w:t>Conclusions:</w:t>
      </w:r>
      <w:r>
        <w:rPr>
          <w:rFonts w:ascii="Arial" w:eastAsia="Calibri" w:hAnsi="Arial" w:cs="Arial"/>
          <w:i/>
          <w:sz w:val="24"/>
          <w:szCs w:val="24"/>
          <w:lang w:val="en-US"/>
        </w:rPr>
        <w:t xml:space="preserve"> </w:t>
      </w:r>
      <w:r w:rsidRPr="00504CCD">
        <w:rPr>
          <w:rFonts w:ascii="Arial" w:eastAsia="Calibri" w:hAnsi="Arial" w:cs="Arial"/>
          <w:sz w:val="24"/>
          <w:szCs w:val="24"/>
          <w:lang w:val="en-US"/>
        </w:rPr>
        <w:t>Albuminemia levels decreased significantly in both groups, and this dec</w:t>
      </w:r>
      <w:r>
        <w:rPr>
          <w:rFonts w:ascii="Arial" w:eastAsia="Calibri" w:hAnsi="Arial" w:cs="Arial"/>
          <w:sz w:val="24"/>
          <w:szCs w:val="24"/>
          <w:lang w:val="en-US"/>
        </w:rPr>
        <w:t>rease was more marked in the EEN</w:t>
      </w:r>
      <w:r w:rsidRPr="00504CCD">
        <w:rPr>
          <w:rFonts w:ascii="Arial" w:eastAsia="Calibri" w:hAnsi="Arial" w:cs="Arial"/>
          <w:sz w:val="24"/>
          <w:szCs w:val="24"/>
          <w:lang w:val="en-US"/>
        </w:rPr>
        <w:t xml:space="preserve"> group. The decrease in albuminemia had a direct correlation with CRP levels, which were higher in the</w:t>
      </w:r>
      <w:r w:rsidR="003A25B5">
        <w:rPr>
          <w:rFonts w:ascii="Arial" w:eastAsia="Calibri" w:hAnsi="Arial" w:cs="Arial"/>
          <w:sz w:val="24"/>
          <w:szCs w:val="24"/>
          <w:lang w:val="en-US"/>
        </w:rPr>
        <w:t xml:space="preserve"> experimental group</w:t>
      </w:r>
      <w:r w:rsidRPr="00504CCD">
        <w:rPr>
          <w:rFonts w:ascii="Arial" w:eastAsia="Calibri" w:hAnsi="Arial" w:cs="Arial"/>
          <w:sz w:val="24"/>
          <w:szCs w:val="24"/>
          <w:lang w:val="en-US"/>
        </w:rPr>
        <w:t>.</w:t>
      </w:r>
    </w:p>
    <w:p w:rsidR="00073393" w:rsidRPr="00F07C27" w:rsidRDefault="00073393" w:rsidP="00073393">
      <w:pPr>
        <w:keepNext/>
        <w:keepLines/>
        <w:spacing w:before="200" w:after="0"/>
        <w:outlineLvl w:val="1"/>
        <w:rPr>
          <w:rFonts w:ascii="Cambria" w:eastAsia="MS Gothic" w:hAnsi="Cambria" w:cs="Times New Roman"/>
          <w:b/>
          <w:bCs/>
          <w:color w:val="4F81BD"/>
          <w:sz w:val="26"/>
          <w:szCs w:val="26"/>
          <w:lang w:val="es-AR"/>
        </w:rPr>
      </w:pPr>
      <w:r w:rsidRPr="00F07C27">
        <w:rPr>
          <w:rFonts w:ascii="Cambria" w:eastAsia="MS Gothic" w:hAnsi="Cambria" w:cs="Times New Roman"/>
          <w:b/>
          <w:bCs/>
          <w:color w:val="4F81BD"/>
          <w:sz w:val="26"/>
          <w:szCs w:val="26"/>
          <w:lang w:val="es-AR"/>
        </w:rPr>
        <w:t>INTRODUCCIÓN</w:t>
      </w:r>
    </w:p>
    <w:p w:rsidR="00073393" w:rsidRPr="00F07C27" w:rsidRDefault="00073393" w:rsidP="00073393">
      <w:pPr>
        <w:spacing w:line="360" w:lineRule="auto"/>
        <w:jc w:val="both"/>
        <w:rPr>
          <w:rFonts w:ascii="Arial" w:eastAsia="Calibri" w:hAnsi="Arial" w:cs="Arial"/>
          <w:sz w:val="24"/>
          <w:szCs w:val="24"/>
          <w:lang w:val="es-AR"/>
        </w:rPr>
      </w:pPr>
      <w:bookmarkStart w:id="0" w:name="_Hlk490069055"/>
      <w:r w:rsidRPr="00F07C27">
        <w:rPr>
          <w:rFonts w:ascii="Arial" w:eastAsia="Calibri" w:hAnsi="Arial" w:cs="Arial"/>
          <w:sz w:val="24"/>
          <w:szCs w:val="24"/>
          <w:lang w:val="es-AR"/>
        </w:rPr>
        <w:t>La pancreatitis aguda (PA) es una enfermedad inflamatoria del páncreas que se presenta asociada a una serie de enfermedades que desde un punto de vista etiopatogénico abarcan un amplio abanico que va desde las formas leves a las críticas</w:t>
      </w:r>
      <w:bookmarkEnd w:id="0"/>
      <w:r w:rsidRPr="00F07C27">
        <w:rPr>
          <w:rFonts w:ascii="Arial" w:eastAsia="Calibri" w:hAnsi="Arial" w:cs="Arial"/>
          <w:sz w:val="24"/>
          <w:szCs w:val="24"/>
          <w:lang w:val="es-AR"/>
        </w:rPr>
        <w:t xml:space="preserve">. </w:t>
      </w:r>
      <w:r w:rsidRPr="00F07C27">
        <w:rPr>
          <w:rFonts w:ascii="Arial" w:eastAsia="Calibri" w:hAnsi="Arial" w:cs="Arial"/>
          <w:sz w:val="24"/>
          <w:szCs w:val="24"/>
          <w:vertAlign w:val="superscript"/>
          <w:lang w:val="es-AR"/>
        </w:rPr>
        <w:t>(1)</w:t>
      </w:r>
    </w:p>
    <w:p w:rsidR="00073393" w:rsidRPr="00F07C27" w:rsidRDefault="00073393" w:rsidP="00073393">
      <w:pPr>
        <w:spacing w:line="360" w:lineRule="auto"/>
        <w:jc w:val="both"/>
        <w:rPr>
          <w:rFonts w:ascii="Arial" w:eastAsia="Calibri" w:hAnsi="Arial" w:cs="Arial"/>
          <w:sz w:val="24"/>
          <w:szCs w:val="24"/>
          <w:lang w:val="es-AR"/>
        </w:rPr>
      </w:pPr>
      <w:r w:rsidRPr="00F07C27">
        <w:rPr>
          <w:rFonts w:ascii="Arial" w:eastAsia="Calibri" w:hAnsi="Arial" w:cs="Arial"/>
          <w:sz w:val="24"/>
          <w:szCs w:val="24"/>
          <w:lang w:val="es-AR"/>
        </w:rPr>
        <w:t xml:space="preserve">En la mayoría de los países sudamericanos, en Europa central y regiones rurales de Estados Unidos, la principal enfermedad asociada es la litiasis biliar. En países Escandinavos y regiones urbanas de </w:t>
      </w:r>
      <w:r>
        <w:rPr>
          <w:rFonts w:ascii="Arial" w:eastAsia="Calibri" w:hAnsi="Arial" w:cs="Arial"/>
          <w:sz w:val="24"/>
          <w:szCs w:val="24"/>
          <w:lang w:val="es-AR"/>
        </w:rPr>
        <w:t>EEUU</w:t>
      </w:r>
      <w:r w:rsidRPr="00F07C27">
        <w:rPr>
          <w:rFonts w:ascii="Arial" w:eastAsia="Calibri" w:hAnsi="Arial" w:cs="Arial"/>
          <w:sz w:val="24"/>
          <w:szCs w:val="24"/>
          <w:lang w:val="es-AR"/>
        </w:rPr>
        <w:t xml:space="preserve"> el alcoholismo crónico predomina sobre la litiasis biliar. La probabilidad de desarrollar una PAL en una persona con colelitiasis es del 5%. </w:t>
      </w:r>
      <w:r w:rsidRPr="00254A0C">
        <w:rPr>
          <w:rFonts w:ascii="Arial" w:eastAsia="Calibri" w:hAnsi="Arial" w:cs="Arial"/>
          <w:sz w:val="24"/>
          <w:szCs w:val="24"/>
          <w:lang w:val="es-AR"/>
        </w:rPr>
        <w:t xml:space="preserve">Desde que Opie </w:t>
      </w:r>
      <w:r w:rsidRPr="00254A0C">
        <w:rPr>
          <w:rFonts w:ascii="Arial" w:eastAsia="Calibri" w:hAnsi="Arial" w:cs="Arial"/>
          <w:sz w:val="24"/>
          <w:szCs w:val="24"/>
          <w:vertAlign w:val="superscript"/>
          <w:lang w:val="es-AR"/>
        </w:rPr>
        <w:t xml:space="preserve">(2) </w:t>
      </w:r>
      <w:r w:rsidRPr="00F07C27">
        <w:rPr>
          <w:rFonts w:ascii="Arial" w:eastAsia="Calibri" w:hAnsi="Arial" w:cs="Arial"/>
          <w:sz w:val="24"/>
          <w:szCs w:val="24"/>
          <w:lang w:val="es-AR"/>
        </w:rPr>
        <w:t xml:space="preserve">en 1901 describiera un caso con PA con un cálculo enclavado en la papila y a pesar de la importante investigación clínica y experimental que se ha </w:t>
      </w:r>
      <w:r>
        <w:rPr>
          <w:rFonts w:ascii="Arial" w:eastAsia="Calibri" w:hAnsi="Arial" w:cs="Arial"/>
          <w:sz w:val="24"/>
          <w:szCs w:val="24"/>
          <w:lang w:val="es-AR"/>
        </w:rPr>
        <w:t>realizado</w:t>
      </w:r>
      <w:r w:rsidRPr="00F07C27">
        <w:rPr>
          <w:rFonts w:ascii="Arial" w:eastAsia="Calibri" w:hAnsi="Arial" w:cs="Arial"/>
          <w:sz w:val="24"/>
          <w:szCs w:val="24"/>
          <w:lang w:val="es-AR"/>
        </w:rPr>
        <w:t xml:space="preserve"> sobre este tema, el mecanismo </w:t>
      </w:r>
      <w:r>
        <w:rPr>
          <w:rFonts w:ascii="Arial" w:eastAsia="Calibri" w:hAnsi="Arial" w:cs="Arial"/>
          <w:sz w:val="24"/>
          <w:szCs w:val="24"/>
          <w:lang w:val="es-AR"/>
        </w:rPr>
        <w:t xml:space="preserve">preciso </w:t>
      </w:r>
      <w:r w:rsidRPr="00F07C27">
        <w:rPr>
          <w:rFonts w:ascii="Arial" w:eastAsia="Calibri" w:hAnsi="Arial" w:cs="Arial"/>
          <w:sz w:val="24"/>
          <w:szCs w:val="24"/>
          <w:lang w:val="es-AR"/>
        </w:rPr>
        <w:t xml:space="preserve">no se </w:t>
      </w:r>
      <w:r>
        <w:rPr>
          <w:rFonts w:ascii="Arial" w:eastAsia="Calibri" w:hAnsi="Arial" w:cs="Arial"/>
          <w:sz w:val="24"/>
          <w:szCs w:val="24"/>
          <w:lang w:val="es-AR"/>
        </w:rPr>
        <w:t>pudo</w:t>
      </w:r>
      <w:r w:rsidRPr="00F07C27">
        <w:rPr>
          <w:rFonts w:ascii="Arial" w:eastAsia="Calibri" w:hAnsi="Arial" w:cs="Arial"/>
          <w:sz w:val="24"/>
          <w:szCs w:val="24"/>
          <w:lang w:val="es-AR"/>
        </w:rPr>
        <w:t xml:space="preserve"> </w:t>
      </w:r>
      <w:r>
        <w:rPr>
          <w:rFonts w:ascii="Arial" w:eastAsia="Calibri" w:hAnsi="Arial" w:cs="Arial"/>
          <w:sz w:val="24"/>
          <w:szCs w:val="24"/>
          <w:lang w:val="es-AR"/>
        </w:rPr>
        <w:t>establecer.</w:t>
      </w:r>
      <w:r w:rsidRPr="00F07C27">
        <w:rPr>
          <w:rFonts w:ascii="Arial" w:eastAsia="Calibri" w:hAnsi="Arial" w:cs="Arial"/>
          <w:sz w:val="24"/>
          <w:szCs w:val="24"/>
          <w:lang w:val="es-AR"/>
        </w:rPr>
        <w:t xml:space="preserve"> </w:t>
      </w:r>
      <w:r>
        <w:rPr>
          <w:rFonts w:ascii="Arial" w:eastAsia="Calibri" w:hAnsi="Arial" w:cs="Arial"/>
          <w:sz w:val="24"/>
          <w:szCs w:val="24"/>
          <w:lang w:val="es-AR"/>
        </w:rPr>
        <w:t xml:space="preserve">Hace cinco décadas, </w:t>
      </w:r>
      <w:r w:rsidRPr="00F07C27">
        <w:rPr>
          <w:rFonts w:ascii="Arial" w:eastAsia="Calibri" w:hAnsi="Arial" w:cs="Arial"/>
          <w:sz w:val="24"/>
          <w:szCs w:val="24"/>
          <w:lang w:val="es-AR"/>
        </w:rPr>
        <w:t xml:space="preserve">Acosta </w:t>
      </w:r>
      <w:r>
        <w:rPr>
          <w:rFonts w:ascii="Arial" w:eastAsia="Calibri" w:hAnsi="Arial" w:cs="Arial"/>
          <w:sz w:val="24"/>
          <w:szCs w:val="24"/>
          <w:lang w:val="es-AR"/>
        </w:rPr>
        <w:t xml:space="preserve">y Ledesma </w:t>
      </w:r>
      <w:r>
        <w:rPr>
          <w:rFonts w:ascii="Arial" w:eastAsia="Calibri" w:hAnsi="Arial" w:cs="Arial"/>
          <w:sz w:val="24"/>
          <w:szCs w:val="24"/>
          <w:vertAlign w:val="superscript"/>
          <w:lang w:val="es-AR"/>
        </w:rPr>
        <w:t>(3)</w:t>
      </w:r>
      <w:r w:rsidRPr="00B250D7">
        <w:rPr>
          <w:lang w:val="es-AR"/>
        </w:rPr>
        <w:t xml:space="preserve"> </w:t>
      </w:r>
      <w:r w:rsidRPr="00F07C27">
        <w:rPr>
          <w:rFonts w:ascii="Arial" w:eastAsia="Calibri" w:hAnsi="Arial" w:cs="Arial"/>
          <w:sz w:val="24"/>
          <w:szCs w:val="24"/>
          <w:lang w:val="es-AR"/>
        </w:rPr>
        <w:t>de Rosario demostraron que la mayoría de los pacientes han eliminado los cálculos por la materia fecal</w:t>
      </w:r>
      <w:r>
        <w:rPr>
          <w:rFonts w:ascii="Arial" w:eastAsia="Calibri" w:hAnsi="Arial" w:cs="Arial"/>
          <w:sz w:val="24"/>
          <w:szCs w:val="24"/>
          <w:lang w:val="es-AR"/>
        </w:rPr>
        <w:t>.</w:t>
      </w:r>
      <w:r>
        <w:rPr>
          <w:rFonts w:ascii="Arial" w:eastAsia="Calibri" w:hAnsi="Arial" w:cs="Arial"/>
          <w:sz w:val="24"/>
          <w:szCs w:val="24"/>
          <w:vertAlign w:val="superscript"/>
          <w:lang w:val="es-AR"/>
        </w:rPr>
        <w:t xml:space="preserve"> </w:t>
      </w:r>
      <w:r w:rsidRPr="00F07C27">
        <w:rPr>
          <w:rFonts w:ascii="Arial" w:eastAsia="Calibri" w:hAnsi="Arial" w:cs="Arial"/>
          <w:sz w:val="24"/>
          <w:szCs w:val="24"/>
          <w:lang w:val="es-AR"/>
        </w:rPr>
        <w:t xml:space="preserve">Es decir, de acuerdo con las imágenes que se han descripto </w:t>
      </w:r>
      <w:r>
        <w:rPr>
          <w:rFonts w:ascii="Arial" w:eastAsia="Calibri" w:hAnsi="Arial" w:cs="Arial"/>
          <w:sz w:val="24"/>
          <w:szCs w:val="24"/>
          <w:lang w:val="es-AR"/>
        </w:rPr>
        <w:t>con</w:t>
      </w:r>
      <w:r w:rsidRPr="00F07C27">
        <w:rPr>
          <w:rFonts w:ascii="Arial" w:eastAsia="Calibri" w:hAnsi="Arial" w:cs="Arial"/>
          <w:sz w:val="24"/>
          <w:szCs w:val="24"/>
          <w:lang w:val="es-AR"/>
        </w:rPr>
        <w:t xml:space="preserve"> la ecografía, el cálculo se impacta y </w:t>
      </w:r>
      <w:r>
        <w:rPr>
          <w:rFonts w:ascii="Arial" w:eastAsia="Calibri" w:hAnsi="Arial" w:cs="Arial"/>
          <w:sz w:val="24"/>
          <w:szCs w:val="24"/>
          <w:lang w:val="es-AR"/>
        </w:rPr>
        <w:t>posteriormente</w:t>
      </w:r>
      <w:r w:rsidRPr="00F07C27">
        <w:rPr>
          <w:rFonts w:ascii="Arial" w:eastAsia="Calibri" w:hAnsi="Arial" w:cs="Arial"/>
          <w:sz w:val="24"/>
          <w:szCs w:val="24"/>
          <w:lang w:val="es-AR"/>
        </w:rPr>
        <w:t xml:space="preserve"> es eliminado por la materia fecal </w:t>
      </w:r>
      <w:r>
        <w:rPr>
          <w:rFonts w:ascii="Arial" w:eastAsia="Calibri" w:hAnsi="Arial" w:cs="Arial"/>
          <w:sz w:val="24"/>
          <w:szCs w:val="24"/>
          <w:lang w:val="es-AR"/>
        </w:rPr>
        <w:t>lo cual</w:t>
      </w:r>
      <w:r w:rsidRPr="00F07C27">
        <w:rPr>
          <w:rFonts w:ascii="Arial" w:eastAsia="Calibri" w:hAnsi="Arial" w:cs="Arial"/>
          <w:sz w:val="24"/>
          <w:szCs w:val="24"/>
          <w:lang w:val="es-AR"/>
        </w:rPr>
        <w:t xml:space="preserve"> fue demostrado con el tamizado de la materia fecal. </w:t>
      </w:r>
    </w:p>
    <w:p w:rsidR="00073393" w:rsidRPr="00F07C27" w:rsidRDefault="00073393" w:rsidP="00073393">
      <w:pPr>
        <w:spacing w:line="360" w:lineRule="auto"/>
        <w:jc w:val="both"/>
        <w:rPr>
          <w:rFonts w:ascii="Arial" w:eastAsia="Calibri" w:hAnsi="Arial" w:cs="Arial"/>
          <w:sz w:val="24"/>
          <w:szCs w:val="24"/>
          <w:lang w:val="es-AR"/>
        </w:rPr>
      </w:pPr>
      <w:r w:rsidRPr="00F07C27">
        <w:rPr>
          <w:rFonts w:ascii="Arial" w:eastAsia="Calibri" w:hAnsi="Arial" w:cs="Arial"/>
          <w:sz w:val="24"/>
          <w:szCs w:val="24"/>
          <w:lang w:val="es-AR"/>
        </w:rPr>
        <w:t>Otras causas menos frecuentes de PA incluyen el alcoholismo crónico, medicamentos, picaduras de escorpión, hipercalcem</w:t>
      </w:r>
      <w:r>
        <w:rPr>
          <w:rFonts w:ascii="Arial" w:eastAsia="Calibri" w:hAnsi="Arial" w:cs="Arial"/>
          <w:sz w:val="24"/>
          <w:szCs w:val="24"/>
          <w:lang w:val="es-AR"/>
        </w:rPr>
        <w:t xml:space="preserve">ia, circulación extracorpórea, </w:t>
      </w:r>
      <w:r w:rsidRPr="00F07C27">
        <w:rPr>
          <w:rFonts w:ascii="Arial" w:eastAsia="Calibri" w:hAnsi="Arial" w:cs="Arial"/>
          <w:sz w:val="24"/>
          <w:szCs w:val="24"/>
          <w:lang w:val="es-AR"/>
        </w:rPr>
        <w:t xml:space="preserve"> hiperlipidemia, etc. quedando las PA idiopáticas, para nosotros mal denominada así, en las cuales no se puede precisar la enfermedad asociada.</w:t>
      </w:r>
      <w:r w:rsidRPr="00F07C27">
        <w:rPr>
          <w:rFonts w:ascii="Arial" w:eastAsia="Calibri" w:hAnsi="Arial" w:cs="Arial"/>
          <w:sz w:val="24"/>
          <w:szCs w:val="24"/>
          <w:vertAlign w:val="superscript"/>
          <w:lang w:val="es-AR"/>
        </w:rPr>
        <w:t xml:space="preserve"> </w:t>
      </w:r>
      <w:r w:rsidRPr="006970F1">
        <w:rPr>
          <w:rFonts w:ascii="Arial" w:eastAsia="Calibri" w:hAnsi="Arial" w:cs="Arial"/>
          <w:sz w:val="24"/>
          <w:szCs w:val="24"/>
          <w:vertAlign w:val="superscript"/>
          <w:lang w:val="es-AR"/>
        </w:rPr>
        <w:t>(4</w:t>
      </w:r>
      <w:r>
        <w:rPr>
          <w:rFonts w:ascii="Arial" w:eastAsia="Calibri" w:hAnsi="Arial" w:cs="Arial"/>
          <w:sz w:val="24"/>
          <w:szCs w:val="24"/>
          <w:vertAlign w:val="superscript"/>
          <w:lang w:val="es-AR"/>
        </w:rPr>
        <w:t xml:space="preserve">, </w:t>
      </w:r>
      <w:r w:rsidRPr="006970F1">
        <w:rPr>
          <w:rFonts w:ascii="Arial" w:eastAsia="Calibri" w:hAnsi="Arial" w:cs="Arial"/>
          <w:sz w:val="24"/>
          <w:szCs w:val="24"/>
          <w:vertAlign w:val="superscript"/>
          <w:lang w:val="es-AR"/>
        </w:rPr>
        <w:t>7)</w:t>
      </w:r>
    </w:p>
    <w:p w:rsidR="00073393" w:rsidRPr="00F07C27" w:rsidRDefault="00073393" w:rsidP="00073393">
      <w:pPr>
        <w:spacing w:line="360" w:lineRule="auto"/>
        <w:jc w:val="both"/>
        <w:rPr>
          <w:rFonts w:ascii="Arial" w:eastAsia="Calibri" w:hAnsi="Arial" w:cs="Arial"/>
          <w:sz w:val="24"/>
          <w:szCs w:val="24"/>
          <w:lang w:val="es-AR"/>
        </w:rPr>
      </w:pPr>
      <w:bookmarkStart w:id="1" w:name="_Hlk490069085"/>
      <w:r w:rsidRPr="00F07C27">
        <w:rPr>
          <w:rFonts w:ascii="Arial" w:eastAsia="Calibri" w:hAnsi="Arial" w:cs="Arial"/>
          <w:sz w:val="24"/>
          <w:szCs w:val="24"/>
          <w:lang w:val="es-AR"/>
        </w:rPr>
        <w:t>A diferencia de los progresos en el manejo de las PA graves, el de las PAL no ha presentado cambios significativos en los últimos años. Tampoco existen trabajos que establezcan una relación clara entre la NET en PAL y los niveles de albuminemia y PCR.</w:t>
      </w:r>
      <w:r w:rsidR="00235A8F">
        <w:rPr>
          <w:rFonts w:ascii="Arial" w:eastAsia="Calibri" w:hAnsi="Arial" w:cs="Arial"/>
          <w:sz w:val="24"/>
          <w:szCs w:val="24"/>
          <w:lang w:val="es-AR"/>
        </w:rPr>
        <w:t xml:space="preserve"> Niveles </w:t>
      </w:r>
      <w:r w:rsidR="00377EA4">
        <w:rPr>
          <w:rFonts w:ascii="Arial" w:eastAsia="Calibri" w:hAnsi="Arial" w:cs="Arial"/>
          <w:sz w:val="24"/>
          <w:szCs w:val="24"/>
          <w:lang w:val="es-AR"/>
        </w:rPr>
        <w:t>plasmaticos de albumina por debajo de 3,5</w:t>
      </w:r>
      <w:r w:rsidR="003C5ACF">
        <w:rPr>
          <w:rFonts w:ascii="Arial" w:eastAsia="Calibri" w:hAnsi="Arial" w:cs="Arial"/>
          <w:sz w:val="24"/>
          <w:szCs w:val="24"/>
          <w:lang w:val="es-AR"/>
        </w:rPr>
        <w:t xml:space="preserve"> </w:t>
      </w:r>
      <w:r w:rsidR="00377EA4">
        <w:rPr>
          <w:rFonts w:ascii="Arial" w:eastAsia="Calibri" w:hAnsi="Arial" w:cs="Arial"/>
          <w:sz w:val="24"/>
          <w:szCs w:val="24"/>
          <w:lang w:val="es-AR"/>
        </w:rPr>
        <w:t xml:space="preserve">g/dL </w:t>
      </w:r>
      <w:r w:rsidR="00D332CC">
        <w:rPr>
          <w:rFonts w:ascii="Arial" w:eastAsia="Calibri" w:hAnsi="Arial" w:cs="Arial"/>
          <w:sz w:val="24"/>
          <w:szCs w:val="24"/>
          <w:lang w:val="es-AR"/>
        </w:rPr>
        <w:t>están asociados a resultados pobres en pacientes sometidos a intervenciones quirúrgicas</w:t>
      </w:r>
      <w:r w:rsidR="00DE29EB">
        <w:rPr>
          <w:rFonts w:ascii="Arial" w:eastAsia="Calibri" w:hAnsi="Arial" w:cs="Arial"/>
          <w:sz w:val="24"/>
          <w:szCs w:val="24"/>
          <w:lang w:val="es-AR"/>
        </w:rPr>
        <w:t>,</w:t>
      </w:r>
      <w:r w:rsidR="003C4B94" w:rsidRPr="004B2F79">
        <w:rPr>
          <w:rFonts w:ascii="Arial" w:eastAsia="Calibri" w:hAnsi="Arial" w:cs="Arial"/>
          <w:sz w:val="24"/>
          <w:szCs w:val="24"/>
          <w:vertAlign w:val="superscript"/>
          <w:lang w:val="es-AR"/>
        </w:rPr>
        <w:t>(8)</w:t>
      </w:r>
      <w:r w:rsidR="00DE29EB">
        <w:rPr>
          <w:rFonts w:ascii="Arial" w:eastAsia="Calibri" w:hAnsi="Arial" w:cs="Arial"/>
          <w:sz w:val="24"/>
          <w:szCs w:val="24"/>
          <w:lang w:val="es-AR"/>
        </w:rPr>
        <w:t xml:space="preserve"> mientras que valores de PCR por encima de 150mg/</w:t>
      </w:r>
      <w:r w:rsidR="00FB0E9D">
        <w:rPr>
          <w:rFonts w:ascii="Arial" w:eastAsia="Calibri" w:hAnsi="Arial" w:cs="Arial"/>
          <w:sz w:val="24"/>
          <w:szCs w:val="24"/>
          <w:lang w:val="es-AR"/>
        </w:rPr>
        <w:t>L a las 48 horas de iniciado los síntomas</w:t>
      </w:r>
      <w:r w:rsidR="00B76B69">
        <w:rPr>
          <w:rFonts w:ascii="Arial" w:eastAsia="Calibri" w:hAnsi="Arial" w:cs="Arial"/>
          <w:sz w:val="24"/>
          <w:szCs w:val="24"/>
          <w:lang w:val="es-AR"/>
        </w:rPr>
        <w:t xml:space="preserve"> constituyen un indicador de severidad</w:t>
      </w:r>
      <w:r w:rsidR="004B3AB6">
        <w:rPr>
          <w:rFonts w:ascii="Arial" w:eastAsia="Calibri" w:hAnsi="Arial" w:cs="Arial"/>
          <w:sz w:val="24"/>
          <w:szCs w:val="24"/>
          <w:lang w:val="es-AR"/>
        </w:rPr>
        <w:t xml:space="preserve"> </w:t>
      </w:r>
      <w:r w:rsidR="00A96DC6" w:rsidRPr="004B3AB6">
        <w:rPr>
          <w:rFonts w:ascii="Arial" w:eastAsia="Calibri" w:hAnsi="Arial" w:cs="Arial"/>
          <w:sz w:val="24"/>
          <w:szCs w:val="24"/>
          <w:vertAlign w:val="superscript"/>
          <w:lang w:val="es-AR"/>
        </w:rPr>
        <w:t>(9)</w:t>
      </w:r>
      <w:r w:rsidR="00B76B69">
        <w:rPr>
          <w:rFonts w:ascii="Arial" w:eastAsia="Calibri" w:hAnsi="Arial" w:cs="Arial"/>
          <w:sz w:val="24"/>
          <w:szCs w:val="24"/>
          <w:lang w:val="es-AR"/>
        </w:rPr>
        <w:t>.</w:t>
      </w:r>
    </w:p>
    <w:bookmarkEnd w:id="1"/>
    <w:p w:rsidR="00073393" w:rsidRPr="00F07C27" w:rsidRDefault="00073393" w:rsidP="00073393">
      <w:pPr>
        <w:spacing w:line="360" w:lineRule="auto"/>
        <w:jc w:val="both"/>
        <w:rPr>
          <w:rFonts w:ascii="Arial" w:eastAsia="Calibri" w:hAnsi="Arial" w:cs="Arial"/>
          <w:sz w:val="24"/>
          <w:szCs w:val="24"/>
          <w:lang w:val="es-AR"/>
        </w:rPr>
      </w:pPr>
      <w:r w:rsidRPr="00F07C27">
        <w:rPr>
          <w:rFonts w:ascii="Arial" w:eastAsia="Calibri" w:hAnsi="Arial" w:cs="Arial"/>
          <w:sz w:val="24"/>
          <w:szCs w:val="24"/>
          <w:lang w:val="es-AR"/>
        </w:rPr>
        <w:t>El objetivo de este trabajo es evaluar los efectos de la NET sobre los niveles de PCR, albumina, estadía hospitalaria y morbimortalidad de pacientes con PAL que asistieron a consulta en el Hospital Nacional de Clínicas en los años 2016 y 2017.</w:t>
      </w:r>
    </w:p>
    <w:p w:rsidR="00073393" w:rsidRPr="00F07C27" w:rsidRDefault="00073393" w:rsidP="00073393">
      <w:pPr>
        <w:keepNext/>
        <w:keepLines/>
        <w:spacing w:before="200" w:after="0"/>
        <w:outlineLvl w:val="1"/>
        <w:rPr>
          <w:rFonts w:ascii="Cambria" w:eastAsia="MS Gothic" w:hAnsi="Cambria" w:cs="Times New Roman"/>
          <w:b/>
          <w:bCs/>
          <w:color w:val="4F81BD"/>
          <w:sz w:val="26"/>
          <w:szCs w:val="26"/>
          <w:lang w:val="es-AR"/>
        </w:rPr>
      </w:pPr>
      <w:r w:rsidRPr="00F07C27">
        <w:rPr>
          <w:rFonts w:ascii="Cambria" w:eastAsia="MS Gothic" w:hAnsi="Cambria" w:cs="Times New Roman"/>
          <w:b/>
          <w:bCs/>
          <w:color w:val="4F81BD"/>
          <w:sz w:val="26"/>
          <w:szCs w:val="26"/>
          <w:lang w:val="es-AR"/>
        </w:rPr>
        <w:t>MATERIAL Y MÉTODO</w:t>
      </w:r>
    </w:p>
    <w:p w:rsidR="00073393" w:rsidRPr="00F07C27" w:rsidRDefault="00073393" w:rsidP="00073393">
      <w:pPr>
        <w:spacing w:line="360" w:lineRule="auto"/>
        <w:jc w:val="both"/>
        <w:rPr>
          <w:rFonts w:ascii="Arial" w:eastAsia="Calibri" w:hAnsi="Arial" w:cs="Arial"/>
          <w:sz w:val="24"/>
          <w:szCs w:val="24"/>
          <w:lang w:val="es-AR"/>
        </w:rPr>
      </w:pPr>
      <w:r w:rsidRPr="00F07C27">
        <w:rPr>
          <w:rFonts w:ascii="Arial" w:eastAsia="Calibri" w:hAnsi="Arial" w:cs="Arial"/>
          <w:i/>
          <w:sz w:val="24"/>
          <w:szCs w:val="24"/>
          <w:lang w:val="es-AR"/>
        </w:rPr>
        <w:t>Diseño de estudio</w:t>
      </w:r>
      <w:r w:rsidRPr="00F07C27">
        <w:rPr>
          <w:rFonts w:ascii="Arial" w:eastAsia="Calibri" w:hAnsi="Arial" w:cs="Arial"/>
          <w:sz w:val="24"/>
          <w:szCs w:val="24"/>
          <w:lang w:val="es-AR"/>
        </w:rPr>
        <w:t>: La metodología seleccionada fue experimental, mediante un estudio clínico controlado, aleator</w:t>
      </w:r>
      <w:r>
        <w:rPr>
          <w:rFonts w:ascii="Arial" w:eastAsia="Calibri" w:hAnsi="Arial" w:cs="Arial"/>
          <w:sz w:val="24"/>
          <w:szCs w:val="24"/>
          <w:lang w:val="es-AR"/>
        </w:rPr>
        <w:t>i</w:t>
      </w:r>
      <w:r w:rsidRPr="00F07C27">
        <w:rPr>
          <w:rFonts w:ascii="Arial" w:eastAsia="Calibri" w:hAnsi="Arial" w:cs="Arial"/>
          <w:sz w:val="24"/>
          <w:szCs w:val="24"/>
          <w:lang w:val="es-AR"/>
        </w:rPr>
        <w:t>o</w:t>
      </w:r>
      <w:r>
        <w:rPr>
          <w:rFonts w:ascii="Arial" w:eastAsia="Calibri" w:hAnsi="Arial" w:cs="Arial"/>
          <w:sz w:val="24"/>
          <w:szCs w:val="24"/>
          <w:lang w:val="es-AR"/>
        </w:rPr>
        <w:t xml:space="preserve"> </w:t>
      </w:r>
      <w:r w:rsidRPr="00F07C27">
        <w:rPr>
          <w:rFonts w:ascii="Arial" w:eastAsia="Calibri" w:hAnsi="Arial" w:cs="Arial"/>
          <w:sz w:val="24"/>
          <w:szCs w:val="24"/>
          <w:lang w:val="es-AR"/>
        </w:rPr>
        <w:t xml:space="preserve">de tipo longitudinal y prospectivo. </w:t>
      </w:r>
    </w:p>
    <w:p w:rsidR="00073393" w:rsidRPr="00F07C27" w:rsidRDefault="00073393" w:rsidP="00073393">
      <w:pPr>
        <w:spacing w:line="360" w:lineRule="auto"/>
        <w:jc w:val="both"/>
        <w:rPr>
          <w:rFonts w:ascii="Arial" w:eastAsia="Calibri" w:hAnsi="Arial" w:cs="Arial"/>
          <w:sz w:val="24"/>
          <w:szCs w:val="24"/>
          <w:lang w:val="es-AR"/>
        </w:rPr>
      </w:pPr>
      <w:r w:rsidRPr="00F07C27">
        <w:rPr>
          <w:rFonts w:ascii="Arial" w:eastAsia="Calibri" w:hAnsi="Arial" w:cs="Arial"/>
          <w:sz w:val="24"/>
          <w:szCs w:val="24"/>
          <w:lang w:val="es-AR"/>
        </w:rPr>
        <w:t>Se compararon las variables seleccionadas en pacientes con PAL litiásica divididos de manera aleatoria en dos grupos, en uno de ellos (</w:t>
      </w:r>
      <w:r>
        <w:rPr>
          <w:rFonts w:ascii="Arial" w:eastAsia="Calibri" w:hAnsi="Arial" w:cs="Arial"/>
          <w:sz w:val="24"/>
          <w:szCs w:val="24"/>
          <w:lang w:val="es-AR"/>
        </w:rPr>
        <w:t>grupo experimental, G1), se inició</w:t>
      </w:r>
      <w:r w:rsidRPr="00F07C27">
        <w:rPr>
          <w:rFonts w:ascii="Arial" w:eastAsia="Calibri" w:hAnsi="Arial" w:cs="Arial"/>
          <w:sz w:val="24"/>
          <w:szCs w:val="24"/>
          <w:lang w:val="es-AR"/>
        </w:rPr>
        <w:t xml:space="preserve"> alimentación enteral temprana dentro las primeras 24 hs de internación utilizando una dieta vía oral, elemental y rica en proteínas diseñada por el equipo de nutrición del hospital</w:t>
      </w:r>
      <w:r w:rsidR="00403C27">
        <w:rPr>
          <w:rFonts w:ascii="Arial" w:eastAsia="Calibri" w:hAnsi="Arial" w:cs="Arial"/>
          <w:sz w:val="24"/>
          <w:szCs w:val="24"/>
          <w:lang w:val="es-AR"/>
        </w:rPr>
        <w:t xml:space="preserve"> utilizando una dosis de 1,2 gramos de proteínas por kilogramo de peso inicial del paciente al ingreso</w:t>
      </w:r>
      <w:r w:rsidR="00A92306">
        <w:rPr>
          <w:rFonts w:ascii="Arial" w:eastAsia="Calibri" w:hAnsi="Arial" w:cs="Arial"/>
          <w:sz w:val="24"/>
          <w:szCs w:val="24"/>
          <w:lang w:val="es-AR"/>
        </w:rPr>
        <w:t>;</w:t>
      </w:r>
      <w:r w:rsidRPr="00F07C27">
        <w:rPr>
          <w:rFonts w:ascii="Arial" w:eastAsia="Calibri" w:hAnsi="Arial" w:cs="Arial"/>
          <w:sz w:val="24"/>
          <w:szCs w:val="24"/>
          <w:lang w:val="es-AR"/>
        </w:rPr>
        <w:t xml:space="preserve"> </w:t>
      </w:r>
      <w:r>
        <w:rPr>
          <w:rFonts w:ascii="Arial" w:eastAsia="Calibri" w:hAnsi="Arial" w:cs="Arial"/>
          <w:sz w:val="24"/>
          <w:szCs w:val="24"/>
          <w:lang w:val="es-AR"/>
        </w:rPr>
        <w:t>el otro grupo (control, G2), siguió</w:t>
      </w:r>
      <w:r w:rsidRPr="00F07C27">
        <w:rPr>
          <w:rFonts w:ascii="Arial" w:eastAsia="Calibri" w:hAnsi="Arial" w:cs="Arial"/>
          <w:sz w:val="24"/>
          <w:szCs w:val="24"/>
          <w:lang w:val="es-AR"/>
        </w:rPr>
        <w:t xml:space="preserve"> un plan estándar de “nada por boca” (NXB) hasta después de la colecistectomía en el caso de los pacientes con vesícula in situ o hasta la desaparición del dolor abdominal y reaparición de los ruidos hidroaéreos en aquellos</w:t>
      </w:r>
      <w:r>
        <w:rPr>
          <w:rFonts w:ascii="Arial" w:eastAsia="Calibri" w:hAnsi="Arial" w:cs="Arial"/>
          <w:sz w:val="24"/>
          <w:szCs w:val="24"/>
          <w:lang w:val="es-AR"/>
        </w:rPr>
        <w:t xml:space="preserve"> con colecistectomía previa. Todos los</w:t>
      </w:r>
      <w:r w:rsidRPr="00F07C27">
        <w:rPr>
          <w:rFonts w:ascii="Arial" w:eastAsia="Calibri" w:hAnsi="Arial" w:cs="Arial"/>
          <w:sz w:val="24"/>
          <w:szCs w:val="24"/>
          <w:lang w:val="es-AR"/>
        </w:rPr>
        <w:t xml:space="preserve"> pacientes incluidos en el estudio refirieron comenzar con dolor abdominal dentro de las 24 hs previas a la consulta.</w:t>
      </w:r>
    </w:p>
    <w:p w:rsidR="00073393" w:rsidRPr="00F07C27" w:rsidRDefault="00073393" w:rsidP="00073393">
      <w:pPr>
        <w:spacing w:line="360" w:lineRule="auto"/>
        <w:jc w:val="both"/>
        <w:rPr>
          <w:rFonts w:ascii="Arial" w:eastAsia="Calibri" w:hAnsi="Arial" w:cs="Arial"/>
          <w:sz w:val="24"/>
          <w:szCs w:val="24"/>
          <w:lang w:val="es-AR"/>
        </w:rPr>
      </w:pPr>
      <w:r w:rsidRPr="00F07C27">
        <w:rPr>
          <w:rFonts w:ascii="Arial" w:eastAsia="Calibri" w:hAnsi="Arial" w:cs="Arial"/>
          <w:sz w:val="24"/>
          <w:szCs w:val="24"/>
          <w:lang w:val="es-AR"/>
        </w:rPr>
        <w:t xml:space="preserve">Nuestra hipótesis es que el </w:t>
      </w:r>
      <w:r>
        <w:rPr>
          <w:rFonts w:ascii="Arial" w:eastAsia="Calibri" w:hAnsi="Arial" w:cs="Arial"/>
          <w:sz w:val="24"/>
          <w:szCs w:val="24"/>
          <w:lang w:val="es-AR"/>
        </w:rPr>
        <w:t>G1</w:t>
      </w:r>
      <w:r w:rsidRPr="00F07C27">
        <w:rPr>
          <w:rFonts w:ascii="Arial" w:eastAsia="Calibri" w:hAnsi="Arial" w:cs="Arial"/>
          <w:sz w:val="24"/>
          <w:szCs w:val="24"/>
          <w:lang w:val="es-AR"/>
        </w:rPr>
        <w:t xml:space="preserve"> </w:t>
      </w:r>
      <w:r w:rsidR="00EC4486" w:rsidRPr="00F07C27">
        <w:rPr>
          <w:rFonts w:ascii="Arial" w:eastAsia="Calibri" w:hAnsi="Arial" w:cs="Arial"/>
          <w:sz w:val="24"/>
          <w:szCs w:val="24"/>
          <w:lang w:val="es-AR"/>
        </w:rPr>
        <w:t>presentar</w:t>
      </w:r>
      <w:r w:rsidR="00EC4486">
        <w:rPr>
          <w:rFonts w:ascii="Arial" w:eastAsia="Calibri" w:hAnsi="Arial" w:cs="Arial"/>
          <w:sz w:val="24"/>
          <w:szCs w:val="24"/>
          <w:lang w:val="es-AR"/>
        </w:rPr>
        <w:t>ía</w:t>
      </w:r>
      <w:r w:rsidRPr="00F07C27">
        <w:rPr>
          <w:rFonts w:ascii="Arial" w:eastAsia="Calibri" w:hAnsi="Arial" w:cs="Arial"/>
          <w:sz w:val="24"/>
          <w:szCs w:val="24"/>
          <w:lang w:val="es-AR"/>
        </w:rPr>
        <w:t xml:space="preserve"> mayores niveles de albuminemia como indicador del estado nutricional, menores de PCR y APACHE II como indicadores de </w:t>
      </w:r>
      <w:r>
        <w:rPr>
          <w:rFonts w:ascii="Arial" w:eastAsia="Calibri" w:hAnsi="Arial" w:cs="Arial"/>
          <w:sz w:val="24"/>
          <w:szCs w:val="24"/>
          <w:lang w:val="es-AR"/>
        </w:rPr>
        <w:t xml:space="preserve">respuesta inflamatoria; </w:t>
      </w:r>
      <w:r w:rsidR="00EC4486">
        <w:rPr>
          <w:rFonts w:ascii="Arial" w:eastAsia="Calibri" w:hAnsi="Arial" w:cs="Arial"/>
          <w:sz w:val="24"/>
          <w:szCs w:val="24"/>
          <w:lang w:val="es-AR"/>
        </w:rPr>
        <w:t>reduciría</w:t>
      </w:r>
      <w:r w:rsidRPr="00F07C27">
        <w:rPr>
          <w:rFonts w:ascii="Arial" w:eastAsia="Calibri" w:hAnsi="Arial" w:cs="Arial"/>
          <w:sz w:val="24"/>
          <w:szCs w:val="24"/>
          <w:lang w:val="es-AR"/>
        </w:rPr>
        <w:t xml:space="preserve"> la morbimortalidad, el índice de infecciones y de estadía hospitalaria, en comparación con los pacientes del </w:t>
      </w:r>
      <w:r>
        <w:rPr>
          <w:rFonts w:ascii="Arial" w:eastAsia="Calibri" w:hAnsi="Arial" w:cs="Arial"/>
          <w:sz w:val="24"/>
          <w:szCs w:val="24"/>
          <w:lang w:val="es-AR"/>
        </w:rPr>
        <w:t>G2</w:t>
      </w:r>
      <w:r w:rsidRPr="00F07C27">
        <w:rPr>
          <w:rFonts w:ascii="Arial" w:eastAsia="Calibri" w:hAnsi="Arial" w:cs="Arial"/>
          <w:sz w:val="24"/>
          <w:szCs w:val="24"/>
          <w:lang w:val="es-AR"/>
        </w:rPr>
        <w:t>.</w:t>
      </w:r>
    </w:p>
    <w:p w:rsidR="00073393" w:rsidRPr="00F07C27" w:rsidRDefault="00073393" w:rsidP="00073393">
      <w:pPr>
        <w:spacing w:line="360" w:lineRule="auto"/>
        <w:jc w:val="both"/>
        <w:rPr>
          <w:rFonts w:ascii="Arial" w:eastAsia="Calibri" w:hAnsi="Arial" w:cs="Arial"/>
          <w:sz w:val="24"/>
          <w:szCs w:val="24"/>
          <w:lang w:val="es-AR"/>
        </w:rPr>
      </w:pPr>
      <w:r w:rsidRPr="00F07C27">
        <w:rPr>
          <w:rFonts w:ascii="Arial" w:eastAsia="Calibri" w:hAnsi="Arial" w:cs="Arial"/>
          <w:i/>
          <w:sz w:val="24"/>
          <w:szCs w:val="24"/>
          <w:lang w:val="es-AR"/>
        </w:rPr>
        <w:t>Población:</w:t>
      </w:r>
      <w:r w:rsidRPr="00F07C27">
        <w:rPr>
          <w:rFonts w:ascii="Arial" w:eastAsia="Calibri" w:hAnsi="Arial" w:cs="Arial"/>
          <w:sz w:val="24"/>
          <w:szCs w:val="24"/>
          <w:lang w:val="es-AR"/>
        </w:rPr>
        <w:t xml:space="preserve"> Fueron incluidos en esta investigación pacientes admitidos en el Hospital Nacional de Clínicas (HNC), con diagnóstico de PAL a través de guardia central que aceptaron participar del estudio a través de la firma del consentimiento informado</w:t>
      </w:r>
      <w:r>
        <w:rPr>
          <w:rFonts w:ascii="Arial" w:eastAsia="Calibri" w:hAnsi="Arial" w:cs="Arial"/>
          <w:sz w:val="24"/>
          <w:szCs w:val="24"/>
          <w:lang w:val="es-AR"/>
        </w:rPr>
        <w:t xml:space="preserve"> (Ver anexo: Consentimiento informado),</w:t>
      </w:r>
      <w:r w:rsidRPr="00F07C27">
        <w:rPr>
          <w:rFonts w:ascii="Arial" w:eastAsia="Calibri" w:hAnsi="Arial" w:cs="Arial"/>
          <w:sz w:val="24"/>
          <w:szCs w:val="24"/>
          <w:lang w:val="es-AR"/>
        </w:rPr>
        <w:t xml:space="preserve"> y que cumplieron con los siguientes criterios de inclusión:</w:t>
      </w:r>
    </w:p>
    <w:p w:rsidR="00073393" w:rsidRDefault="00073393" w:rsidP="00073393">
      <w:pPr>
        <w:numPr>
          <w:ilvl w:val="0"/>
          <w:numId w:val="1"/>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Paciente</w:t>
      </w:r>
      <w:r>
        <w:rPr>
          <w:rFonts w:ascii="Arial" w:eastAsia="Calibri" w:hAnsi="Arial" w:cs="Arial"/>
          <w:sz w:val="24"/>
          <w:szCs w:val="24"/>
          <w:lang w:val="es-AR"/>
        </w:rPr>
        <w:t xml:space="preserve">s cuyo manejo sea exclusivo </w:t>
      </w:r>
      <w:r w:rsidRPr="006A693C">
        <w:rPr>
          <w:rFonts w:ascii="Arial" w:eastAsia="Calibri" w:hAnsi="Arial" w:cs="Arial"/>
          <w:sz w:val="24"/>
          <w:szCs w:val="24"/>
          <w:lang w:val="es-AR"/>
        </w:rPr>
        <w:t xml:space="preserve">del </w:t>
      </w:r>
      <w:r>
        <w:rPr>
          <w:rFonts w:ascii="Arial" w:eastAsia="Calibri" w:hAnsi="Arial" w:cs="Arial"/>
          <w:sz w:val="24"/>
          <w:szCs w:val="24"/>
          <w:lang w:val="es-AR"/>
        </w:rPr>
        <w:t>S</w:t>
      </w:r>
      <w:r w:rsidRPr="006A693C">
        <w:rPr>
          <w:rFonts w:ascii="Arial" w:eastAsia="Calibri" w:hAnsi="Arial" w:cs="Arial"/>
          <w:sz w:val="24"/>
          <w:szCs w:val="24"/>
          <w:lang w:val="es-AR"/>
        </w:rPr>
        <w:t xml:space="preserve">ervicio de </w:t>
      </w:r>
      <w:r>
        <w:rPr>
          <w:rFonts w:ascii="Arial" w:eastAsia="Calibri" w:hAnsi="Arial" w:cs="Arial"/>
          <w:sz w:val="24"/>
          <w:szCs w:val="24"/>
          <w:lang w:val="es-AR"/>
        </w:rPr>
        <w:t>C</w:t>
      </w:r>
      <w:r w:rsidRPr="006A693C">
        <w:rPr>
          <w:rFonts w:ascii="Arial" w:eastAsia="Calibri" w:hAnsi="Arial" w:cs="Arial"/>
          <w:sz w:val="24"/>
          <w:szCs w:val="24"/>
          <w:lang w:val="es-AR"/>
        </w:rPr>
        <w:t>irugía N° I del HNC.</w:t>
      </w:r>
    </w:p>
    <w:p w:rsidR="00073393" w:rsidRPr="006A693C" w:rsidRDefault="00073393" w:rsidP="00073393">
      <w:pPr>
        <w:numPr>
          <w:ilvl w:val="0"/>
          <w:numId w:val="1"/>
        </w:numPr>
        <w:spacing w:line="360" w:lineRule="auto"/>
        <w:contextualSpacing/>
        <w:jc w:val="both"/>
        <w:rPr>
          <w:rFonts w:ascii="Arial" w:eastAsia="Calibri" w:hAnsi="Arial" w:cs="Arial"/>
          <w:sz w:val="24"/>
          <w:szCs w:val="24"/>
          <w:lang w:val="es-AR"/>
        </w:rPr>
      </w:pPr>
      <w:r w:rsidRPr="00EC568E">
        <w:rPr>
          <w:rFonts w:ascii="Arial" w:eastAsia="Calibri" w:hAnsi="Arial" w:cs="Arial"/>
          <w:sz w:val="24"/>
          <w:szCs w:val="24"/>
          <w:lang w:val="es-AR"/>
        </w:rPr>
        <w:t>Pacientes de ambos sexos mayores de 16 años sin límite de edad máxima.</w:t>
      </w:r>
    </w:p>
    <w:p w:rsidR="00073393" w:rsidRPr="006A693C" w:rsidRDefault="00073393" w:rsidP="00073393">
      <w:pPr>
        <w:numPr>
          <w:ilvl w:val="0"/>
          <w:numId w:val="1"/>
        </w:numPr>
        <w:spacing w:line="360" w:lineRule="auto"/>
        <w:contextualSpacing/>
        <w:jc w:val="both"/>
        <w:rPr>
          <w:rFonts w:ascii="Arial" w:eastAsia="Calibri" w:hAnsi="Arial" w:cs="Arial"/>
          <w:sz w:val="24"/>
          <w:szCs w:val="24"/>
          <w:lang w:val="es-AR"/>
        </w:rPr>
      </w:pPr>
      <w:r>
        <w:rPr>
          <w:rFonts w:ascii="Arial" w:eastAsia="Calibri" w:hAnsi="Arial" w:cs="Arial"/>
          <w:sz w:val="24"/>
          <w:szCs w:val="24"/>
          <w:lang w:val="es-AR"/>
        </w:rPr>
        <w:t>Pacientes que cumplieran</w:t>
      </w:r>
      <w:r w:rsidRPr="006A693C">
        <w:rPr>
          <w:rFonts w:ascii="Arial" w:eastAsia="Calibri" w:hAnsi="Arial" w:cs="Arial"/>
          <w:sz w:val="24"/>
          <w:szCs w:val="24"/>
          <w:lang w:val="es-AR"/>
        </w:rPr>
        <w:t xml:space="preserve"> los criterios diagnósticos de PA planteados por las guías del Colegio Americano del páncreas del 2013, siendo los mismos:</w:t>
      </w:r>
    </w:p>
    <w:p w:rsidR="00073393" w:rsidRPr="006A693C" w:rsidRDefault="00073393" w:rsidP="00073393">
      <w:pPr>
        <w:spacing w:line="360" w:lineRule="auto"/>
        <w:ind w:left="1440"/>
        <w:jc w:val="both"/>
        <w:rPr>
          <w:rFonts w:ascii="Arial" w:eastAsia="Calibri" w:hAnsi="Arial" w:cs="Arial"/>
          <w:sz w:val="24"/>
          <w:szCs w:val="24"/>
          <w:lang w:val="es-AR"/>
        </w:rPr>
      </w:pPr>
      <w:r w:rsidRPr="006A693C">
        <w:rPr>
          <w:rFonts w:ascii="Arial" w:eastAsia="Calibri" w:hAnsi="Arial" w:cs="Arial"/>
          <w:sz w:val="24"/>
          <w:szCs w:val="24"/>
          <w:lang w:val="es-AR"/>
        </w:rPr>
        <w:t>I.</w:t>
      </w:r>
      <w:r w:rsidRPr="006A693C">
        <w:rPr>
          <w:rFonts w:ascii="Arial" w:eastAsia="Calibri" w:hAnsi="Arial" w:cs="Arial"/>
          <w:sz w:val="24"/>
          <w:szCs w:val="24"/>
          <w:lang w:val="es-AR"/>
        </w:rPr>
        <w:tab/>
        <w:t>Dolor abdominal</w:t>
      </w:r>
      <w:r>
        <w:rPr>
          <w:rFonts w:ascii="Arial" w:eastAsia="Calibri" w:hAnsi="Arial" w:cs="Arial"/>
          <w:sz w:val="24"/>
          <w:szCs w:val="24"/>
          <w:lang w:val="es-AR"/>
        </w:rPr>
        <w:t>.</w:t>
      </w:r>
    </w:p>
    <w:p w:rsidR="00073393" w:rsidRPr="006A693C" w:rsidRDefault="00073393" w:rsidP="00073393">
      <w:pPr>
        <w:spacing w:line="360" w:lineRule="auto"/>
        <w:ind w:left="1440"/>
        <w:jc w:val="both"/>
        <w:rPr>
          <w:rFonts w:ascii="Arial" w:eastAsia="Calibri" w:hAnsi="Arial" w:cs="Arial"/>
          <w:sz w:val="24"/>
          <w:szCs w:val="24"/>
          <w:lang w:val="es-AR"/>
        </w:rPr>
      </w:pPr>
      <w:r w:rsidRPr="006A693C">
        <w:rPr>
          <w:rFonts w:ascii="Arial" w:eastAsia="Calibri" w:hAnsi="Arial" w:cs="Arial"/>
          <w:sz w:val="24"/>
          <w:szCs w:val="24"/>
          <w:lang w:val="es-AR"/>
        </w:rPr>
        <w:t>II.</w:t>
      </w:r>
      <w:r w:rsidRPr="006A693C">
        <w:rPr>
          <w:rFonts w:ascii="Arial" w:eastAsia="Calibri" w:hAnsi="Arial" w:cs="Arial"/>
          <w:sz w:val="24"/>
          <w:szCs w:val="24"/>
          <w:lang w:val="es-AR"/>
        </w:rPr>
        <w:tab/>
        <w:t>Hip</w:t>
      </w:r>
      <w:r>
        <w:rPr>
          <w:rFonts w:ascii="Arial" w:eastAsia="Calibri" w:hAnsi="Arial" w:cs="Arial"/>
          <w:sz w:val="24"/>
          <w:szCs w:val="24"/>
          <w:lang w:val="es-AR"/>
        </w:rPr>
        <w:t>eramilasemia aumentada tres (3)</w:t>
      </w:r>
      <w:r w:rsidRPr="006A693C">
        <w:rPr>
          <w:rFonts w:ascii="Arial" w:eastAsia="Calibri" w:hAnsi="Arial" w:cs="Arial"/>
          <w:sz w:val="24"/>
          <w:szCs w:val="24"/>
          <w:lang w:val="es-AR"/>
        </w:rPr>
        <w:t xml:space="preserve"> veces por encima del valor de referencia</w:t>
      </w:r>
      <w:r>
        <w:rPr>
          <w:rFonts w:ascii="Arial" w:eastAsia="Calibri" w:hAnsi="Arial" w:cs="Arial"/>
          <w:sz w:val="24"/>
          <w:szCs w:val="24"/>
          <w:lang w:val="es-AR"/>
        </w:rPr>
        <w:t>.</w:t>
      </w:r>
    </w:p>
    <w:p w:rsidR="00073393" w:rsidRPr="006A693C" w:rsidRDefault="00073393" w:rsidP="00073393">
      <w:pPr>
        <w:spacing w:line="360" w:lineRule="auto"/>
        <w:ind w:left="1440"/>
        <w:jc w:val="both"/>
        <w:rPr>
          <w:rFonts w:ascii="Arial" w:eastAsia="Calibri" w:hAnsi="Arial" w:cs="Arial"/>
          <w:sz w:val="24"/>
          <w:szCs w:val="24"/>
          <w:lang w:val="es-AR"/>
        </w:rPr>
      </w:pPr>
      <w:r w:rsidRPr="006A693C">
        <w:rPr>
          <w:rFonts w:ascii="Arial" w:eastAsia="Calibri" w:hAnsi="Arial" w:cs="Arial"/>
          <w:sz w:val="24"/>
          <w:szCs w:val="24"/>
          <w:lang w:val="es-AR"/>
        </w:rPr>
        <w:t>III.</w:t>
      </w:r>
      <w:r w:rsidRPr="006A693C">
        <w:rPr>
          <w:rFonts w:ascii="Arial" w:eastAsia="Calibri" w:hAnsi="Arial" w:cs="Arial"/>
          <w:sz w:val="24"/>
          <w:szCs w:val="24"/>
          <w:lang w:val="es-AR"/>
        </w:rPr>
        <w:tab/>
        <w:t>Imagen compatible con proceso pancreático agudo.</w:t>
      </w:r>
    </w:p>
    <w:p w:rsidR="00073393" w:rsidRPr="006A693C" w:rsidRDefault="00073393" w:rsidP="00073393">
      <w:pPr>
        <w:spacing w:line="360" w:lineRule="auto"/>
        <w:ind w:left="1440"/>
        <w:jc w:val="both"/>
        <w:rPr>
          <w:rFonts w:ascii="Arial" w:eastAsia="Calibri" w:hAnsi="Arial" w:cs="Arial"/>
          <w:sz w:val="24"/>
          <w:szCs w:val="24"/>
          <w:lang w:val="es-AR"/>
        </w:rPr>
      </w:pPr>
      <w:r w:rsidRPr="006A693C">
        <w:rPr>
          <w:rFonts w:ascii="Arial" w:eastAsia="Calibri" w:hAnsi="Arial" w:cs="Arial"/>
          <w:sz w:val="24"/>
          <w:szCs w:val="24"/>
          <w:lang w:val="es-AR"/>
        </w:rPr>
        <w:t>Alcanzándose el diagnóstico con la suma de los criterios I y II o con el criterio III aislado.</w:t>
      </w:r>
    </w:p>
    <w:p w:rsidR="00073393" w:rsidRPr="00BF1E5E" w:rsidRDefault="00073393" w:rsidP="00073393">
      <w:pPr>
        <w:pStyle w:val="Prrafodelista"/>
        <w:numPr>
          <w:ilvl w:val="0"/>
          <w:numId w:val="2"/>
        </w:numPr>
        <w:rPr>
          <w:lang w:val="es-AR"/>
        </w:rPr>
      </w:pPr>
      <w:r w:rsidRPr="00105BE2">
        <w:rPr>
          <w:rFonts w:ascii="Arial" w:eastAsia="Calibri" w:hAnsi="Arial" w:cs="Arial"/>
          <w:sz w:val="24"/>
          <w:szCs w:val="24"/>
          <w:lang w:val="es-AR"/>
        </w:rPr>
        <w:t>Los pacientes con PAL, son aquellos que presentaban hasta dos (2) criterios pronósticos de Ranson al ingreso</w:t>
      </w:r>
      <w:r>
        <w:rPr>
          <w:rFonts w:ascii="Arial" w:eastAsia="Calibri" w:hAnsi="Arial" w:cs="Arial"/>
          <w:sz w:val="24"/>
          <w:szCs w:val="24"/>
          <w:lang w:val="es-AR"/>
        </w:rPr>
        <w:t xml:space="preserve"> </w:t>
      </w:r>
      <w:r w:rsidRPr="009701C0">
        <w:rPr>
          <w:rFonts w:ascii="Arial" w:eastAsia="Calibri" w:hAnsi="Arial" w:cs="Arial"/>
          <w:sz w:val="24"/>
          <w:szCs w:val="24"/>
          <w:vertAlign w:val="superscript"/>
          <w:lang w:val="es-AR"/>
        </w:rPr>
        <w:t>(</w:t>
      </w:r>
      <w:r w:rsidR="000A5B27">
        <w:rPr>
          <w:rFonts w:ascii="Arial" w:eastAsia="Calibri" w:hAnsi="Arial" w:cs="Arial"/>
          <w:sz w:val="24"/>
          <w:szCs w:val="24"/>
          <w:vertAlign w:val="superscript"/>
          <w:lang w:val="es-AR"/>
        </w:rPr>
        <w:t>10)</w:t>
      </w:r>
      <w:r w:rsidRPr="009701C0">
        <w:rPr>
          <w:rFonts w:ascii="Arial" w:eastAsia="Calibri" w:hAnsi="Arial" w:cs="Arial"/>
          <w:sz w:val="24"/>
          <w:szCs w:val="24"/>
          <w:lang w:val="es-AR"/>
        </w:rPr>
        <w:t>.</w:t>
      </w:r>
    </w:p>
    <w:p w:rsidR="00073393" w:rsidRPr="006A693C" w:rsidRDefault="00073393" w:rsidP="00073393">
      <w:pPr>
        <w:spacing w:line="360" w:lineRule="auto"/>
        <w:jc w:val="both"/>
        <w:rPr>
          <w:rFonts w:ascii="Arial" w:eastAsia="Calibri" w:hAnsi="Arial" w:cs="Arial"/>
          <w:i/>
          <w:sz w:val="24"/>
          <w:szCs w:val="24"/>
          <w:lang w:val="es-AR"/>
        </w:rPr>
      </w:pPr>
      <w:r w:rsidRPr="006A693C">
        <w:rPr>
          <w:rFonts w:ascii="Arial" w:eastAsia="Calibri" w:hAnsi="Arial" w:cs="Arial"/>
          <w:i/>
          <w:sz w:val="24"/>
          <w:szCs w:val="24"/>
          <w:lang w:val="es-AR"/>
        </w:rPr>
        <w:t xml:space="preserve">Variables: </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Criterios pronósticos de APACHE II al ingreso (basal), a las 48 hs y prequirúrgico (para PAL litiásicas), o al alta (para PAL alitiásicas): variable cuantitativa continua. El Score de APACHE II puede ser utilizado al ingreso y diariamente en las primeras 72</w:t>
      </w:r>
      <w:r>
        <w:rPr>
          <w:rFonts w:ascii="Arial" w:eastAsia="Calibri" w:hAnsi="Arial" w:cs="Arial"/>
          <w:sz w:val="24"/>
          <w:szCs w:val="24"/>
          <w:lang w:val="es-AR"/>
        </w:rPr>
        <w:t xml:space="preserve"> </w:t>
      </w:r>
      <w:r w:rsidRPr="006A693C">
        <w:rPr>
          <w:rFonts w:ascii="Arial" w:eastAsia="Calibri" w:hAnsi="Arial" w:cs="Arial"/>
          <w:sz w:val="24"/>
          <w:szCs w:val="24"/>
          <w:lang w:val="es-AR"/>
        </w:rPr>
        <w:t xml:space="preserve">hs de internación. </w:t>
      </w:r>
      <w:r>
        <w:rPr>
          <w:rFonts w:ascii="Arial" w:eastAsia="Calibri" w:hAnsi="Arial" w:cs="Arial"/>
          <w:sz w:val="24"/>
          <w:szCs w:val="24"/>
          <w:vertAlign w:val="superscript"/>
          <w:lang w:val="es-AR"/>
        </w:rPr>
        <w:t>(</w:t>
      </w:r>
      <w:r w:rsidR="000A5B27">
        <w:rPr>
          <w:rFonts w:ascii="Arial" w:eastAsia="Calibri" w:hAnsi="Arial" w:cs="Arial"/>
          <w:sz w:val="24"/>
          <w:szCs w:val="24"/>
          <w:vertAlign w:val="superscript"/>
          <w:lang w:val="es-AR"/>
        </w:rPr>
        <w:t>11</w:t>
      </w:r>
      <w:r w:rsidRPr="006A693C">
        <w:rPr>
          <w:rFonts w:ascii="Arial" w:eastAsia="Calibri" w:hAnsi="Arial" w:cs="Arial"/>
          <w:sz w:val="24"/>
          <w:szCs w:val="24"/>
          <w:vertAlign w:val="superscript"/>
          <w:lang w:val="es-AR"/>
        </w:rPr>
        <w:t>)</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Albuminemia al ingreso (basal), a las 48 hs y prequirúrgica o al alta: variable cuantitativa continua.</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PCR al ingreso (basal), a las 48 hs y prequirúrgica o al alta: variable cuantitativa continua. Un nivel de proteína C reactiva (PCR), por encima de 14 286 nmol/L (150 mg/dL) puede utilizarse como un indicador de severidad y mala evolución clínica, por lo que debe solicitarse al ingreso y diariamente hasta las 72</w:t>
      </w:r>
      <w:r>
        <w:rPr>
          <w:rFonts w:ascii="Arial" w:eastAsia="Calibri" w:hAnsi="Arial" w:cs="Arial"/>
          <w:sz w:val="24"/>
          <w:szCs w:val="24"/>
          <w:lang w:val="es-AR"/>
        </w:rPr>
        <w:t xml:space="preserve"> </w:t>
      </w:r>
      <w:r w:rsidRPr="006A693C">
        <w:rPr>
          <w:rFonts w:ascii="Arial" w:eastAsia="Calibri" w:hAnsi="Arial" w:cs="Arial"/>
          <w:sz w:val="24"/>
          <w:szCs w:val="24"/>
          <w:lang w:val="es-AR"/>
        </w:rPr>
        <w:t xml:space="preserve">hs de la admisión. </w:t>
      </w:r>
      <w:r>
        <w:rPr>
          <w:rFonts w:ascii="Arial" w:eastAsia="Calibri" w:hAnsi="Arial" w:cs="Arial"/>
          <w:sz w:val="24"/>
          <w:szCs w:val="24"/>
          <w:vertAlign w:val="superscript"/>
          <w:lang w:val="es-AR"/>
        </w:rPr>
        <w:t>(1</w:t>
      </w:r>
      <w:r w:rsidR="00457D6B">
        <w:rPr>
          <w:rFonts w:ascii="Arial" w:eastAsia="Calibri" w:hAnsi="Arial" w:cs="Arial"/>
          <w:sz w:val="24"/>
          <w:szCs w:val="24"/>
          <w:vertAlign w:val="superscript"/>
          <w:lang w:val="es-AR"/>
        </w:rPr>
        <w:t>2</w:t>
      </w:r>
      <w:r w:rsidRPr="006A693C">
        <w:rPr>
          <w:rFonts w:ascii="Arial" w:eastAsia="Calibri" w:hAnsi="Arial" w:cs="Arial"/>
          <w:sz w:val="24"/>
          <w:szCs w:val="24"/>
          <w:vertAlign w:val="superscript"/>
          <w:lang w:val="es-AR"/>
        </w:rPr>
        <w:t>)</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Tiempo de estadía hospitalaria medida en días de internación: variable continua.</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 xml:space="preserve">Mortalidad: variable cualitativa </w:t>
      </w:r>
      <w:r>
        <w:rPr>
          <w:rFonts w:ascii="Arial" w:eastAsia="Calibri" w:hAnsi="Arial" w:cs="Arial"/>
          <w:sz w:val="24"/>
          <w:szCs w:val="24"/>
          <w:lang w:val="es-AR"/>
        </w:rPr>
        <w:t>n</w:t>
      </w:r>
      <w:r w:rsidRPr="006A693C">
        <w:rPr>
          <w:rFonts w:ascii="Arial" w:eastAsia="Calibri" w:hAnsi="Arial" w:cs="Arial"/>
          <w:sz w:val="24"/>
          <w:szCs w:val="24"/>
          <w:lang w:val="es-AR"/>
        </w:rPr>
        <w:t>ominal.</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Aparición de infecciones intrahospitalarias: variable cualitativa nominal.</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Complicaciones quirúrgicas: variable cualitativa nominal.</w:t>
      </w:r>
    </w:p>
    <w:p w:rsidR="00073393" w:rsidRPr="006A693C" w:rsidRDefault="00073393" w:rsidP="00073393">
      <w:pPr>
        <w:numPr>
          <w:ilvl w:val="0"/>
          <w:numId w:val="3"/>
        </w:numPr>
        <w:spacing w:line="360" w:lineRule="auto"/>
        <w:contextualSpacing/>
        <w:jc w:val="both"/>
        <w:rPr>
          <w:rFonts w:ascii="Arial" w:eastAsia="Calibri" w:hAnsi="Arial" w:cs="Arial"/>
          <w:sz w:val="24"/>
          <w:szCs w:val="24"/>
          <w:lang w:val="es-AR"/>
        </w:rPr>
      </w:pPr>
      <w:r w:rsidRPr="006A693C">
        <w:rPr>
          <w:rFonts w:ascii="Arial" w:eastAsia="Calibri" w:hAnsi="Arial" w:cs="Arial"/>
          <w:sz w:val="24"/>
          <w:szCs w:val="24"/>
          <w:lang w:val="es-AR"/>
        </w:rPr>
        <w:t>Tiempo de desaparición del dolor m</w:t>
      </w:r>
      <w:r w:rsidR="00E600F4">
        <w:rPr>
          <w:rFonts w:ascii="Arial" w:eastAsia="Calibri" w:hAnsi="Arial" w:cs="Arial"/>
          <w:sz w:val="24"/>
          <w:szCs w:val="24"/>
          <w:lang w:val="es-AR"/>
        </w:rPr>
        <w:t>edido en días, mediante examen físico:</w:t>
      </w:r>
      <w:r w:rsidRPr="006A693C">
        <w:rPr>
          <w:rFonts w:ascii="Arial" w:eastAsia="Calibri" w:hAnsi="Arial" w:cs="Arial"/>
          <w:sz w:val="24"/>
          <w:szCs w:val="24"/>
          <w:lang w:val="es-AR"/>
        </w:rPr>
        <w:t xml:space="preserve"> variable cualitativa nominal.</w:t>
      </w:r>
    </w:p>
    <w:p w:rsidR="00073393" w:rsidRPr="006A693C" w:rsidRDefault="00073393" w:rsidP="00073393">
      <w:pPr>
        <w:spacing w:line="360" w:lineRule="auto"/>
        <w:jc w:val="both"/>
        <w:rPr>
          <w:rFonts w:ascii="Arial" w:eastAsia="Calibri" w:hAnsi="Arial" w:cs="Arial"/>
          <w:sz w:val="24"/>
          <w:szCs w:val="24"/>
          <w:lang w:val="es-AR"/>
        </w:rPr>
      </w:pPr>
      <w:r>
        <w:rPr>
          <w:rFonts w:ascii="Arial" w:eastAsia="Calibri" w:hAnsi="Arial" w:cs="Arial"/>
          <w:sz w:val="24"/>
          <w:szCs w:val="24"/>
          <w:lang w:val="es-AR"/>
        </w:rPr>
        <w:t>Quien realizó</w:t>
      </w:r>
      <w:r w:rsidRPr="006A693C">
        <w:rPr>
          <w:rFonts w:ascii="Arial" w:eastAsia="Calibri" w:hAnsi="Arial" w:cs="Arial"/>
          <w:sz w:val="24"/>
          <w:szCs w:val="24"/>
          <w:lang w:val="es-AR"/>
        </w:rPr>
        <w:t xml:space="preserve"> las medic</w:t>
      </w:r>
      <w:r>
        <w:rPr>
          <w:rFonts w:ascii="Arial" w:eastAsia="Calibri" w:hAnsi="Arial" w:cs="Arial"/>
          <w:sz w:val="24"/>
          <w:szCs w:val="24"/>
          <w:lang w:val="es-AR"/>
        </w:rPr>
        <w:t>iones de laboratorio desconocía</w:t>
      </w:r>
      <w:r w:rsidRPr="006A693C">
        <w:rPr>
          <w:rFonts w:ascii="Arial" w:eastAsia="Calibri" w:hAnsi="Arial" w:cs="Arial"/>
          <w:sz w:val="24"/>
          <w:szCs w:val="24"/>
          <w:lang w:val="es-AR"/>
        </w:rPr>
        <w:t xml:space="preserve"> el origen </w:t>
      </w:r>
      <w:r>
        <w:rPr>
          <w:rFonts w:ascii="Arial" w:eastAsia="Calibri" w:hAnsi="Arial" w:cs="Arial"/>
          <w:sz w:val="24"/>
          <w:szCs w:val="24"/>
          <w:lang w:val="es-AR"/>
        </w:rPr>
        <w:t>de la muestra, es decir no sabía</w:t>
      </w:r>
      <w:r w:rsidRPr="006A693C">
        <w:rPr>
          <w:rFonts w:ascii="Arial" w:eastAsia="Calibri" w:hAnsi="Arial" w:cs="Arial"/>
          <w:sz w:val="24"/>
          <w:szCs w:val="24"/>
          <w:lang w:val="es-AR"/>
        </w:rPr>
        <w:t xml:space="preserve"> si se trata de un individuo perteneciente a los casos experimentales o a los controles. </w:t>
      </w:r>
    </w:p>
    <w:p w:rsidR="00073393" w:rsidRPr="006A693C" w:rsidRDefault="00073393" w:rsidP="00073393">
      <w:pPr>
        <w:spacing w:line="360" w:lineRule="auto"/>
        <w:jc w:val="both"/>
        <w:rPr>
          <w:rFonts w:ascii="Arial" w:eastAsia="Calibri" w:hAnsi="Arial" w:cs="Arial"/>
          <w:sz w:val="24"/>
          <w:szCs w:val="24"/>
          <w:lang w:val="es-AR"/>
        </w:rPr>
      </w:pPr>
      <w:r w:rsidRPr="006A693C">
        <w:rPr>
          <w:rFonts w:ascii="Arial" w:eastAsia="Calibri" w:hAnsi="Arial" w:cs="Arial"/>
          <w:sz w:val="24"/>
          <w:szCs w:val="24"/>
          <w:lang w:val="es-AR"/>
        </w:rPr>
        <w:t xml:space="preserve">El plan nutricional para </w:t>
      </w:r>
      <w:r>
        <w:rPr>
          <w:rFonts w:ascii="Arial" w:eastAsia="Calibri" w:hAnsi="Arial" w:cs="Arial"/>
          <w:sz w:val="24"/>
          <w:szCs w:val="24"/>
          <w:lang w:val="es-AR"/>
        </w:rPr>
        <w:t>los</w:t>
      </w:r>
      <w:r w:rsidRPr="006A693C">
        <w:rPr>
          <w:rFonts w:ascii="Arial" w:eastAsia="Calibri" w:hAnsi="Arial" w:cs="Arial"/>
          <w:sz w:val="24"/>
          <w:szCs w:val="24"/>
          <w:lang w:val="es-AR"/>
        </w:rPr>
        <w:t xml:space="preserve"> pacientes </w:t>
      </w:r>
      <w:r>
        <w:rPr>
          <w:rFonts w:ascii="Arial" w:eastAsia="Calibri" w:hAnsi="Arial" w:cs="Arial"/>
          <w:sz w:val="24"/>
          <w:szCs w:val="24"/>
          <w:lang w:val="es-AR"/>
        </w:rPr>
        <w:t>d</w:t>
      </w:r>
      <w:r w:rsidRPr="006A693C">
        <w:rPr>
          <w:rFonts w:ascii="Arial" w:eastAsia="Calibri" w:hAnsi="Arial" w:cs="Arial"/>
          <w:sz w:val="24"/>
          <w:szCs w:val="24"/>
          <w:lang w:val="es-AR"/>
        </w:rPr>
        <w:t>el grupo “Experimental” incluy</w:t>
      </w:r>
      <w:r>
        <w:rPr>
          <w:rFonts w:ascii="Arial" w:eastAsia="Calibri" w:hAnsi="Arial" w:cs="Arial"/>
          <w:sz w:val="24"/>
          <w:szCs w:val="24"/>
          <w:lang w:val="es-AR"/>
        </w:rPr>
        <w:t>eron</w:t>
      </w:r>
      <w:r w:rsidRPr="006A693C">
        <w:rPr>
          <w:rFonts w:ascii="Arial" w:eastAsia="Calibri" w:hAnsi="Arial" w:cs="Arial"/>
          <w:sz w:val="24"/>
          <w:szCs w:val="24"/>
          <w:lang w:val="es-AR"/>
        </w:rPr>
        <w:t xml:space="preserve"> en el día N° 0 (cero), dieta líquida vía oral, y a partir del día N° 1 dieta sólida. Para más detalles ver anexo: Plan nutricional.</w:t>
      </w:r>
    </w:p>
    <w:p w:rsidR="00073393" w:rsidRPr="006A693C" w:rsidRDefault="00073393" w:rsidP="00073393">
      <w:pPr>
        <w:spacing w:line="360" w:lineRule="auto"/>
        <w:jc w:val="both"/>
        <w:rPr>
          <w:rFonts w:ascii="Arial" w:eastAsia="Calibri" w:hAnsi="Arial" w:cs="Arial"/>
          <w:sz w:val="24"/>
          <w:szCs w:val="24"/>
          <w:lang w:val="es-AR"/>
        </w:rPr>
      </w:pPr>
      <w:r w:rsidRPr="006A693C">
        <w:rPr>
          <w:rFonts w:ascii="Arial" w:eastAsia="Calibri" w:hAnsi="Arial" w:cs="Arial"/>
          <w:sz w:val="24"/>
          <w:szCs w:val="24"/>
          <w:lang w:val="es-AR"/>
        </w:rPr>
        <w:t>Las técnicas de medición utilizadas en laboratorio fueron las siguientes:</w:t>
      </w:r>
    </w:p>
    <w:p w:rsidR="00073393" w:rsidRPr="006A693C" w:rsidRDefault="00073393" w:rsidP="00073393">
      <w:pPr>
        <w:spacing w:line="360" w:lineRule="auto"/>
        <w:jc w:val="both"/>
        <w:rPr>
          <w:rFonts w:ascii="Arial" w:eastAsia="Calibri" w:hAnsi="Arial" w:cs="Arial"/>
          <w:sz w:val="24"/>
          <w:szCs w:val="24"/>
          <w:lang w:val="es-AR"/>
        </w:rPr>
      </w:pPr>
      <w:r w:rsidRPr="006A693C">
        <w:rPr>
          <w:rFonts w:ascii="Arial" w:eastAsia="Calibri" w:hAnsi="Arial" w:cs="Arial"/>
          <w:sz w:val="24"/>
          <w:szCs w:val="24"/>
          <w:lang w:val="es-AR"/>
        </w:rPr>
        <w:t xml:space="preserve">Medición de citológico con contador automatizado mindray BC3000. </w:t>
      </w:r>
      <w:r>
        <w:rPr>
          <w:rFonts w:ascii="Arial" w:eastAsia="Calibri" w:hAnsi="Arial" w:cs="Arial"/>
          <w:sz w:val="24"/>
          <w:szCs w:val="24"/>
          <w:vertAlign w:val="superscript"/>
          <w:lang w:val="es-AR"/>
        </w:rPr>
        <w:t>(1</w:t>
      </w:r>
      <w:r w:rsidR="00457D6B">
        <w:rPr>
          <w:rFonts w:ascii="Arial" w:eastAsia="Calibri" w:hAnsi="Arial" w:cs="Arial"/>
          <w:sz w:val="24"/>
          <w:szCs w:val="24"/>
          <w:vertAlign w:val="superscript"/>
          <w:lang w:val="es-AR"/>
        </w:rPr>
        <w:t>3</w:t>
      </w:r>
      <w:r w:rsidRPr="006A693C">
        <w:rPr>
          <w:rFonts w:ascii="Arial" w:eastAsia="Calibri" w:hAnsi="Arial" w:cs="Arial"/>
          <w:sz w:val="24"/>
          <w:szCs w:val="24"/>
          <w:vertAlign w:val="superscript"/>
          <w:lang w:val="es-AR"/>
        </w:rPr>
        <w:t>)</w:t>
      </w:r>
    </w:p>
    <w:p w:rsidR="00073393" w:rsidRPr="006A693C" w:rsidRDefault="00073393" w:rsidP="00073393">
      <w:pPr>
        <w:spacing w:line="360" w:lineRule="auto"/>
        <w:jc w:val="both"/>
        <w:rPr>
          <w:rFonts w:ascii="Arial" w:eastAsia="Calibri" w:hAnsi="Arial" w:cs="Arial"/>
          <w:sz w:val="24"/>
          <w:szCs w:val="24"/>
          <w:lang w:val="es-AR"/>
        </w:rPr>
      </w:pPr>
      <w:r w:rsidRPr="006A693C">
        <w:rPr>
          <w:rFonts w:ascii="Arial" w:eastAsia="Calibri" w:hAnsi="Arial" w:cs="Arial"/>
          <w:sz w:val="24"/>
          <w:szCs w:val="24"/>
          <w:lang w:val="es-AR"/>
        </w:rPr>
        <w:t xml:space="preserve">Parámetros químicos (Hepatograma, LDH y gases arteriales), con autoanalizador modular Siemens dimensión. </w:t>
      </w:r>
      <w:r>
        <w:rPr>
          <w:rFonts w:ascii="Arial" w:eastAsia="Calibri" w:hAnsi="Arial" w:cs="Arial"/>
          <w:sz w:val="24"/>
          <w:szCs w:val="24"/>
          <w:vertAlign w:val="superscript"/>
          <w:lang w:val="es-AR"/>
        </w:rPr>
        <w:t>(1</w:t>
      </w:r>
      <w:r w:rsidR="00457D6B">
        <w:rPr>
          <w:rFonts w:ascii="Arial" w:eastAsia="Calibri" w:hAnsi="Arial" w:cs="Arial"/>
          <w:sz w:val="24"/>
          <w:szCs w:val="24"/>
          <w:vertAlign w:val="superscript"/>
          <w:lang w:val="es-AR"/>
        </w:rPr>
        <w:t>4</w:t>
      </w:r>
      <w:r w:rsidRPr="006A693C">
        <w:rPr>
          <w:rFonts w:ascii="Arial" w:eastAsia="Calibri" w:hAnsi="Arial" w:cs="Arial"/>
          <w:sz w:val="24"/>
          <w:szCs w:val="24"/>
          <w:vertAlign w:val="superscript"/>
          <w:lang w:val="es-AR"/>
        </w:rPr>
        <w:t>)</w:t>
      </w:r>
    </w:p>
    <w:p w:rsidR="00073393" w:rsidRPr="006A693C" w:rsidRDefault="00073393" w:rsidP="00073393">
      <w:pPr>
        <w:spacing w:line="360" w:lineRule="auto"/>
        <w:jc w:val="both"/>
        <w:rPr>
          <w:rFonts w:ascii="Arial" w:eastAsia="Calibri" w:hAnsi="Arial" w:cs="Arial"/>
          <w:sz w:val="24"/>
          <w:szCs w:val="24"/>
          <w:lang w:val="es-AR"/>
        </w:rPr>
      </w:pPr>
      <w:r w:rsidRPr="006A693C">
        <w:rPr>
          <w:rFonts w:ascii="Arial" w:eastAsia="Calibri" w:hAnsi="Arial" w:cs="Arial"/>
          <w:sz w:val="24"/>
          <w:szCs w:val="24"/>
          <w:lang w:val="es-AR"/>
        </w:rPr>
        <w:t xml:space="preserve">GPT se midió por técnica del piridoxal -5- fosfato. GOT por método de la piridoxal -5-fosfato. Gamma Glutamil Transferasa medida por método de L-gamma-glutamil-3-carboxi-4-nitranilida con glicilglicina. Bilirrubinas medidas por técnica TBI. PCR por inmunoensayo turbidimétrico mejorado por partículas (PETIA). Fosfatasa alcalina por técnica de ALPI. Albuminemia medida por métido de ALB. Glucemia por método de la hexocinasa – glucosa – 6 – fostato deshidrogenasa. </w:t>
      </w:r>
      <w:r>
        <w:rPr>
          <w:rFonts w:ascii="Arial" w:eastAsia="Calibri" w:hAnsi="Arial" w:cs="Arial"/>
          <w:sz w:val="24"/>
          <w:szCs w:val="24"/>
          <w:vertAlign w:val="superscript"/>
          <w:lang w:val="es-AR"/>
        </w:rPr>
        <w:t>(1</w:t>
      </w:r>
      <w:r w:rsidR="00FF3573">
        <w:rPr>
          <w:rFonts w:ascii="Arial" w:eastAsia="Calibri" w:hAnsi="Arial" w:cs="Arial"/>
          <w:sz w:val="24"/>
          <w:szCs w:val="24"/>
          <w:vertAlign w:val="superscript"/>
          <w:lang w:val="es-AR"/>
        </w:rPr>
        <w:t>5</w:t>
      </w:r>
      <w:r w:rsidRPr="006A693C">
        <w:rPr>
          <w:rFonts w:ascii="Arial" w:eastAsia="Calibri" w:hAnsi="Arial" w:cs="Arial"/>
          <w:sz w:val="24"/>
          <w:szCs w:val="24"/>
          <w:vertAlign w:val="superscript"/>
          <w:lang w:val="es-AR"/>
        </w:rPr>
        <w:t>)</w:t>
      </w:r>
    </w:p>
    <w:p w:rsidR="00073393" w:rsidRDefault="00073393" w:rsidP="00073393">
      <w:pPr>
        <w:spacing w:line="360" w:lineRule="auto"/>
        <w:jc w:val="both"/>
        <w:rPr>
          <w:rFonts w:ascii="Arial" w:eastAsia="Calibri" w:hAnsi="Arial" w:cs="Arial"/>
          <w:sz w:val="24"/>
          <w:szCs w:val="24"/>
          <w:lang w:val="es-AR"/>
        </w:rPr>
      </w:pPr>
      <w:r w:rsidRPr="006A693C">
        <w:rPr>
          <w:rFonts w:ascii="Arial" w:eastAsia="Calibri" w:hAnsi="Arial" w:cs="Arial"/>
          <w:sz w:val="24"/>
          <w:szCs w:val="24"/>
          <w:lang w:val="es-AR"/>
        </w:rPr>
        <w:t>Para el análisis de los datos se utilizó en primera instancia la</w:t>
      </w:r>
      <w:r>
        <w:rPr>
          <w:rFonts w:ascii="Arial" w:eastAsia="Calibri" w:hAnsi="Arial" w:cs="Arial"/>
          <w:sz w:val="24"/>
          <w:szCs w:val="24"/>
          <w:lang w:val="es-AR"/>
        </w:rPr>
        <w:t>s</w:t>
      </w:r>
      <w:r w:rsidRPr="006A693C">
        <w:rPr>
          <w:rFonts w:ascii="Arial" w:eastAsia="Calibri" w:hAnsi="Arial" w:cs="Arial"/>
          <w:sz w:val="24"/>
          <w:szCs w:val="24"/>
          <w:lang w:val="es-AR"/>
        </w:rPr>
        <w:t xml:space="preserve"> estadística</w:t>
      </w:r>
      <w:r>
        <w:rPr>
          <w:rFonts w:ascii="Arial" w:eastAsia="Calibri" w:hAnsi="Arial" w:cs="Arial"/>
          <w:sz w:val="24"/>
          <w:szCs w:val="24"/>
          <w:lang w:val="es-AR"/>
        </w:rPr>
        <w:t>s</w:t>
      </w:r>
      <w:r w:rsidRPr="006A693C">
        <w:rPr>
          <w:rFonts w:ascii="Arial" w:eastAsia="Calibri" w:hAnsi="Arial" w:cs="Arial"/>
          <w:sz w:val="24"/>
          <w:szCs w:val="24"/>
          <w:lang w:val="es-AR"/>
        </w:rPr>
        <w:t xml:space="preserve"> descriptiva</w:t>
      </w:r>
      <w:r>
        <w:rPr>
          <w:rFonts w:ascii="Arial" w:eastAsia="Calibri" w:hAnsi="Arial" w:cs="Arial"/>
          <w:sz w:val="24"/>
          <w:szCs w:val="24"/>
          <w:lang w:val="es-AR"/>
        </w:rPr>
        <w:t>s</w:t>
      </w:r>
      <w:r w:rsidRPr="006A693C">
        <w:rPr>
          <w:rFonts w:ascii="Arial" w:eastAsia="Calibri" w:hAnsi="Arial" w:cs="Arial"/>
          <w:sz w:val="24"/>
          <w:szCs w:val="24"/>
          <w:lang w:val="es-AR"/>
        </w:rPr>
        <w:t xml:space="preserve"> a través de tablas de frecuencias para las variables cualitativas y el cálculo de medidas resumen para las cuantitativas. Por último, se aplicó la estadística inferencial con el Test T para averiguar si existían diferencias significativas de medias de las variables en cuestión según grupo experimental/control y Test T- apareado para registrar si existían diferencias de tales valores entre los momentos de e</w:t>
      </w:r>
      <w:r>
        <w:rPr>
          <w:rFonts w:ascii="Arial" w:eastAsia="Calibri" w:hAnsi="Arial" w:cs="Arial"/>
          <w:sz w:val="24"/>
          <w:szCs w:val="24"/>
          <w:lang w:val="es-AR"/>
        </w:rPr>
        <w:t>studio (basal, 48 hs y alta/prequirúrgico</w:t>
      </w:r>
      <w:r w:rsidRPr="006A693C">
        <w:rPr>
          <w:rFonts w:ascii="Arial" w:eastAsia="Calibri" w:hAnsi="Arial" w:cs="Arial"/>
          <w:sz w:val="24"/>
          <w:szCs w:val="24"/>
          <w:lang w:val="es-AR"/>
        </w:rPr>
        <w:t>). La normalidad de las variables fue analizada mediante el test de Shapiro Wilks. Las variables sin distribución normal fueron analizadas con la prueba de Wilcoxon. Estos análisis se realizaron con</w:t>
      </w:r>
      <w:r>
        <w:rPr>
          <w:rFonts w:ascii="Arial" w:eastAsia="Calibri" w:hAnsi="Arial" w:cs="Arial"/>
          <w:sz w:val="24"/>
          <w:szCs w:val="24"/>
          <w:lang w:val="es-AR"/>
        </w:rPr>
        <w:t xml:space="preserve"> un nivel de confianza del 95%.</w:t>
      </w:r>
    </w:p>
    <w:p w:rsidR="00073393" w:rsidRPr="00EC568E" w:rsidRDefault="00073393" w:rsidP="00073393">
      <w:pPr>
        <w:keepNext/>
        <w:keepLines/>
        <w:spacing w:before="200" w:after="0"/>
        <w:outlineLvl w:val="1"/>
        <w:rPr>
          <w:rFonts w:ascii="Cambria" w:eastAsia="MS Gothic" w:hAnsi="Cambria" w:cs="Times New Roman"/>
          <w:b/>
          <w:bCs/>
          <w:color w:val="4F81BD"/>
          <w:sz w:val="26"/>
          <w:szCs w:val="26"/>
          <w:lang w:val="es-AR"/>
        </w:rPr>
      </w:pPr>
      <w:r w:rsidRPr="00EC568E">
        <w:rPr>
          <w:rFonts w:ascii="Cambria" w:eastAsia="MS Gothic" w:hAnsi="Cambria" w:cs="Times New Roman"/>
          <w:b/>
          <w:bCs/>
          <w:color w:val="4F81BD"/>
          <w:sz w:val="26"/>
          <w:szCs w:val="26"/>
          <w:lang w:val="es-AR"/>
        </w:rPr>
        <w:t>RESULTADOS</w:t>
      </w:r>
    </w:p>
    <w:p w:rsidR="00073393" w:rsidRPr="00EC568E" w:rsidRDefault="00073393" w:rsidP="00073393">
      <w:pPr>
        <w:spacing w:line="360" w:lineRule="auto"/>
        <w:jc w:val="both"/>
        <w:rPr>
          <w:rFonts w:ascii="Arial" w:eastAsia="Calibri" w:hAnsi="Arial" w:cs="Arial"/>
          <w:sz w:val="24"/>
          <w:szCs w:val="24"/>
          <w:lang w:val="es-AR"/>
        </w:rPr>
      </w:pPr>
      <w:bookmarkStart w:id="2" w:name="_Hlk490069934"/>
      <w:r w:rsidRPr="00EC568E">
        <w:rPr>
          <w:rFonts w:ascii="Arial" w:eastAsia="Calibri" w:hAnsi="Arial" w:cs="Arial"/>
          <w:sz w:val="24"/>
          <w:szCs w:val="24"/>
          <w:lang w:val="es-AR"/>
        </w:rPr>
        <w:t xml:space="preserve">La muestra quedó conformada por 19 pacientes distribuidos aleatoriamente en un 57,89% (11 pacientes) en el </w:t>
      </w:r>
      <w:r>
        <w:rPr>
          <w:rFonts w:ascii="Arial" w:eastAsia="Calibri" w:hAnsi="Arial" w:cs="Arial"/>
          <w:sz w:val="24"/>
          <w:szCs w:val="24"/>
          <w:lang w:val="es-AR"/>
        </w:rPr>
        <w:t>G2</w:t>
      </w:r>
      <w:r w:rsidRPr="00EC568E">
        <w:rPr>
          <w:rFonts w:ascii="Arial" w:eastAsia="Calibri" w:hAnsi="Arial" w:cs="Arial"/>
          <w:sz w:val="24"/>
          <w:szCs w:val="24"/>
          <w:lang w:val="es-AR"/>
        </w:rPr>
        <w:t xml:space="preserve"> y el 42,11% (8 pacientes) en el </w:t>
      </w:r>
      <w:r>
        <w:rPr>
          <w:rFonts w:ascii="Arial" w:eastAsia="Calibri" w:hAnsi="Arial" w:cs="Arial"/>
          <w:sz w:val="24"/>
          <w:szCs w:val="24"/>
          <w:lang w:val="es-AR"/>
        </w:rPr>
        <w:t>G1</w:t>
      </w:r>
      <w:r w:rsidRPr="00EC568E">
        <w:rPr>
          <w:rFonts w:ascii="Arial" w:eastAsia="Calibri" w:hAnsi="Arial" w:cs="Arial"/>
          <w:sz w:val="24"/>
          <w:szCs w:val="24"/>
          <w:lang w:val="es-AR"/>
        </w:rPr>
        <w:t xml:space="preserve">.  </w:t>
      </w:r>
      <w:bookmarkEnd w:id="2"/>
      <w:r w:rsidRPr="00EC568E">
        <w:rPr>
          <w:rFonts w:ascii="Arial" w:eastAsia="Calibri" w:hAnsi="Arial" w:cs="Arial"/>
          <w:sz w:val="24"/>
          <w:szCs w:val="24"/>
          <w:lang w:val="es-AR"/>
        </w:rPr>
        <w:t>La edad promedio del total de la muestra fue de 57,8 ± 16,75 años y la mayoría (73,68%) fue representado por el sexo femenino. El 63,16% de los pacientes presentaron hallazgos de laboratorio compatibles con hipertensión biliar. En el 26,32% de los casos se encontraba</w:t>
      </w:r>
      <w:r>
        <w:rPr>
          <w:rFonts w:ascii="Arial" w:eastAsia="Calibri" w:hAnsi="Arial" w:cs="Arial"/>
          <w:sz w:val="24"/>
          <w:szCs w:val="24"/>
          <w:lang w:val="es-AR"/>
        </w:rPr>
        <w:t>n</w:t>
      </w:r>
      <w:r w:rsidRPr="00EC568E">
        <w:rPr>
          <w:rFonts w:ascii="Arial" w:eastAsia="Calibri" w:hAnsi="Arial" w:cs="Arial"/>
          <w:sz w:val="24"/>
          <w:szCs w:val="24"/>
          <w:lang w:val="es-AR"/>
        </w:rPr>
        <w:t xml:space="preserve"> colecistectomizado</w:t>
      </w:r>
      <w:r>
        <w:rPr>
          <w:rFonts w:ascii="Arial" w:eastAsia="Calibri" w:hAnsi="Arial" w:cs="Arial"/>
          <w:sz w:val="24"/>
          <w:szCs w:val="24"/>
          <w:lang w:val="es-AR"/>
        </w:rPr>
        <w:t>s</w:t>
      </w:r>
      <w:r w:rsidRPr="00EC568E">
        <w:rPr>
          <w:rFonts w:ascii="Arial" w:eastAsia="Calibri" w:hAnsi="Arial" w:cs="Arial"/>
          <w:sz w:val="24"/>
          <w:szCs w:val="24"/>
          <w:lang w:val="es-AR"/>
        </w:rPr>
        <w:t xml:space="preserve"> al momento de la internación, de ellos 2 (10,53%), requierieron ERCP como tratamiento. En ninguno de los casos se objetivo la presencia ecográfica de colecistitis aguda. A todos los pacientes que presentaban vesícula in situ (73,68%), se les realizó colecistectomía viodeolaparoscópica con colangiografía intraoperatoria. No se registraron lesiones vasculares </w:t>
      </w:r>
      <w:r>
        <w:rPr>
          <w:rFonts w:ascii="Arial" w:eastAsia="Calibri" w:hAnsi="Arial" w:cs="Arial"/>
          <w:sz w:val="24"/>
          <w:szCs w:val="24"/>
          <w:lang w:val="es-AR"/>
        </w:rPr>
        <w:t>ni de</w:t>
      </w:r>
      <w:r w:rsidRPr="00EC568E">
        <w:rPr>
          <w:rFonts w:ascii="Arial" w:eastAsia="Calibri" w:hAnsi="Arial" w:cs="Arial"/>
          <w:sz w:val="24"/>
          <w:szCs w:val="24"/>
          <w:lang w:val="es-AR"/>
        </w:rPr>
        <w:t xml:space="preserve"> </w:t>
      </w:r>
      <w:r>
        <w:rPr>
          <w:rFonts w:ascii="Arial" w:eastAsia="Calibri" w:hAnsi="Arial" w:cs="Arial"/>
          <w:sz w:val="24"/>
          <w:szCs w:val="24"/>
          <w:lang w:val="es-AR"/>
        </w:rPr>
        <w:t xml:space="preserve">la </w:t>
      </w:r>
      <w:r w:rsidRPr="00EC568E">
        <w:rPr>
          <w:rFonts w:ascii="Arial" w:eastAsia="Calibri" w:hAnsi="Arial" w:cs="Arial"/>
          <w:sz w:val="24"/>
          <w:szCs w:val="24"/>
          <w:lang w:val="es-AR"/>
        </w:rPr>
        <w:t xml:space="preserve">vía biliar </w:t>
      </w:r>
      <w:r>
        <w:rPr>
          <w:rFonts w:ascii="Arial" w:eastAsia="Calibri" w:hAnsi="Arial" w:cs="Arial"/>
          <w:sz w:val="24"/>
          <w:szCs w:val="24"/>
          <w:lang w:val="es-AR"/>
        </w:rPr>
        <w:t xml:space="preserve">y </w:t>
      </w:r>
      <w:r w:rsidRPr="00EC568E">
        <w:rPr>
          <w:rFonts w:ascii="Arial" w:eastAsia="Calibri" w:hAnsi="Arial" w:cs="Arial"/>
          <w:sz w:val="24"/>
          <w:szCs w:val="24"/>
          <w:lang w:val="es-AR"/>
        </w:rPr>
        <w:t>tampoco infecciones de la herida quirúrgica o complicaciones posoperatorias en ninguno de los grupos.</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i/>
          <w:sz w:val="24"/>
          <w:szCs w:val="24"/>
          <w:lang w:val="es-AR"/>
        </w:rPr>
        <w:t xml:space="preserve">Estadía Hospitalaria: </w:t>
      </w:r>
      <w:bookmarkStart w:id="3" w:name="_Hlk490069959"/>
      <w:r w:rsidRPr="00EC568E">
        <w:rPr>
          <w:rFonts w:ascii="Arial" w:eastAsia="Calibri" w:hAnsi="Arial" w:cs="Arial"/>
          <w:sz w:val="24"/>
          <w:szCs w:val="24"/>
          <w:lang w:val="es-AR"/>
        </w:rPr>
        <w:t xml:space="preserve">Se registró que el </w:t>
      </w:r>
      <w:r>
        <w:rPr>
          <w:rFonts w:ascii="Arial" w:eastAsia="Calibri" w:hAnsi="Arial" w:cs="Arial"/>
          <w:sz w:val="24"/>
          <w:szCs w:val="24"/>
          <w:lang w:val="es-AR"/>
        </w:rPr>
        <w:t>G2</w:t>
      </w:r>
      <w:r w:rsidRPr="00EC568E">
        <w:rPr>
          <w:rFonts w:ascii="Arial" w:eastAsia="Calibri" w:hAnsi="Arial" w:cs="Arial"/>
          <w:sz w:val="24"/>
          <w:szCs w:val="24"/>
          <w:lang w:val="es-AR"/>
        </w:rPr>
        <w:t xml:space="preserve"> presentó un mayor promedio de estadía hospitalaria en relación con el </w:t>
      </w:r>
      <w:r>
        <w:rPr>
          <w:rFonts w:ascii="Arial" w:eastAsia="Calibri" w:hAnsi="Arial" w:cs="Arial"/>
          <w:sz w:val="24"/>
          <w:szCs w:val="24"/>
          <w:lang w:val="es-AR"/>
        </w:rPr>
        <w:t>G1</w:t>
      </w:r>
      <w:r w:rsidRPr="00EC568E">
        <w:rPr>
          <w:rFonts w:ascii="Arial" w:eastAsia="Calibri" w:hAnsi="Arial" w:cs="Arial"/>
          <w:sz w:val="24"/>
          <w:szCs w:val="24"/>
          <w:lang w:val="es-AR"/>
        </w:rPr>
        <w:t xml:space="preserve">. Sin embargo, tales diferencias no fueron estadísticamente significativas (p &gt;0,05). </w:t>
      </w:r>
      <w:bookmarkStart w:id="4" w:name="_Hlk490070012"/>
      <w:bookmarkEnd w:id="3"/>
      <w:r w:rsidRPr="00EC568E">
        <w:rPr>
          <w:rFonts w:ascii="Arial" w:eastAsia="Calibri" w:hAnsi="Arial" w:cs="Arial"/>
          <w:sz w:val="24"/>
          <w:szCs w:val="24"/>
          <w:lang w:val="es-AR"/>
        </w:rPr>
        <w:t>El promedio de estadía en el total de los sujetos en estudio fue de 8,10 ± 2,37 días</w:t>
      </w:r>
      <w:bookmarkEnd w:id="4"/>
      <w:r w:rsidRPr="00EC568E">
        <w:rPr>
          <w:rFonts w:ascii="Arial" w:eastAsia="Calibri" w:hAnsi="Arial" w:cs="Arial"/>
          <w:sz w:val="24"/>
          <w:szCs w:val="24"/>
          <w:lang w:val="es-AR"/>
        </w:rPr>
        <w:t xml:space="preserve">. </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i/>
          <w:sz w:val="24"/>
          <w:szCs w:val="24"/>
          <w:lang w:val="es-AR"/>
        </w:rPr>
        <w:t xml:space="preserve">Infecciones intrahospitalarias: </w:t>
      </w:r>
      <w:r w:rsidRPr="00EC568E">
        <w:rPr>
          <w:rFonts w:ascii="Arial" w:eastAsia="Calibri" w:hAnsi="Arial" w:cs="Arial"/>
          <w:sz w:val="24"/>
          <w:szCs w:val="24"/>
          <w:lang w:val="es-AR"/>
        </w:rPr>
        <w:t xml:space="preserve">No se observó en el </w:t>
      </w:r>
      <w:r>
        <w:rPr>
          <w:rFonts w:ascii="Arial" w:eastAsia="Calibri" w:hAnsi="Arial" w:cs="Arial"/>
          <w:sz w:val="24"/>
          <w:szCs w:val="24"/>
          <w:lang w:val="es-AR"/>
        </w:rPr>
        <w:t>G1</w:t>
      </w:r>
      <w:r w:rsidRPr="00EC568E">
        <w:rPr>
          <w:rFonts w:ascii="Arial" w:eastAsia="Calibri" w:hAnsi="Arial" w:cs="Arial"/>
          <w:sz w:val="24"/>
          <w:szCs w:val="24"/>
          <w:lang w:val="es-AR"/>
        </w:rPr>
        <w:t xml:space="preserve"> ni en el </w:t>
      </w:r>
      <w:r>
        <w:rPr>
          <w:rFonts w:ascii="Arial" w:eastAsia="Calibri" w:hAnsi="Arial" w:cs="Arial"/>
          <w:sz w:val="24"/>
          <w:szCs w:val="24"/>
          <w:lang w:val="es-AR"/>
        </w:rPr>
        <w:t>G2</w:t>
      </w:r>
      <w:r w:rsidRPr="00EC568E">
        <w:rPr>
          <w:rFonts w:ascii="Arial" w:eastAsia="Calibri" w:hAnsi="Arial" w:cs="Arial"/>
          <w:sz w:val="24"/>
          <w:szCs w:val="24"/>
          <w:lang w:val="es-AR"/>
        </w:rPr>
        <w:t xml:space="preserve"> desarrollo de infecciones intrahospitalarias. </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i/>
          <w:sz w:val="24"/>
          <w:szCs w:val="24"/>
          <w:lang w:val="es-AR"/>
        </w:rPr>
        <w:t>Mortalidad:</w:t>
      </w:r>
      <w:r>
        <w:rPr>
          <w:rFonts w:ascii="Arial" w:eastAsia="Calibri" w:hAnsi="Arial" w:cs="Arial"/>
          <w:sz w:val="24"/>
          <w:szCs w:val="24"/>
          <w:lang w:val="es-AR"/>
        </w:rPr>
        <w:t xml:space="preserve"> </w:t>
      </w:r>
      <w:r w:rsidRPr="00EC568E">
        <w:rPr>
          <w:rFonts w:ascii="Arial" w:eastAsia="Calibri" w:hAnsi="Arial" w:cs="Arial"/>
          <w:sz w:val="24"/>
          <w:szCs w:val="24"/>
          <w:lang w:val="es-AR"/>
        </w:rPr>
        <w:t xml:space="preserve">No hubo defunciones en ninguno de los grupos. </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i/>
          <w:sz w:val="24"/>
          <w:szCs w:val="24"/>
          <w:lang w:val="es-AR"/>
        </w:rPr>
        <w:t>Respuesta inflamatoria según PCR y Score de APACHE II:</w:t>
      </w:r>
      <w:r>
        <w:rPr>
          <w:rFonts w:ascii="Arial" w:eastAsia="Calibri" w:hAnsi="Arial" w:cs="Arial"/>
          <w:sz w:val="24"/>
          <w:szCs w:val="24"/>
          <w:lang w:val="es-AR"/>
        </w:rPr>
        <w:t xml:space="preserve"> </w:t>
      </w:r>
      <w:bookmarkStart w:id="5" w:name="_Hlk483985625"/>
      <w:r w:rsidRPr="00EC568E">
        <w:rPr>
          <w:rFonts w:ascii="Arial" w:eastAsia="Calibri" w:hAnsi="Arial" w:cs="Arial"/>
          <w:sz w:val="24"/>
          <w:szCs w:val="24"/>
          <w:lang w:val="es-AR"/>
        </w:rPr>
        <w:t xml:space="preserve">En ambos grupos, se registraron un ascenso de los valores promedios de PCR entre el momento basal y a las 48 hs. En el </w:t>
      </w:r>
      <w:r>
        <w:rPr>
          <w:rFonts w:ascii="Arial" w:eastAsia="Calibri" w:hAnsi="Arial" w:cs="Arial"/>
          <w:sz w:val="24"/>
          <w:szCs w:val="24"/>
          <w:lang w:val="es-AR"/>
        </w:rPr>
        <w:t>G1</w:t>
      </w:r>
      <w:r w:rsidRPr="00EC568E">
        <w:rPr>
          <w:rFonts w:ascii="Arial" w:eastAsia="Calibri" w:hAnsi="Arial" w:cs="Arial"/>
          <w:sz w:val="24"/>
          <w:szCs w:val="24"/>
          <w:lang w:val="es-AR"/>
        </w:rPr>
        <w:t xml:space="preserve">, se observó nuevamente un ascenso entre el momento basal y el pre-quirúrgico; por su parte, el </w:t>
      </w:r>
      <w:r>
        <w:rPr>
          <w:rFonts w:ascii="Arial" w:eastAsia="Calibri" w:hAnsi="Arial" w:cs="Arial"/>
          <w:sz w:val="24"/>
          <w:szCs w:val="24"/>
          <w:lang w:val="es-AR"/>
        </w:rPr>
        <w:t>G2</w:t>
      </w:r>
      <w:r w:rsidRPr="00EC568E">
        <w:rPr>
          <w:rFonts w:ascii="Arial" w:eastAsia="Calibri" w:hAnsi="Arial" w:cs="Arial"/>
          <w:sz w:val="24"/>
          <w:szCs w:val="24"/>
          <w:lang w:val="es-AR"/>
        </w:rPr>
        <w:t xml:space="preserve"> mostró que las medias fueron semejantes entre dichos momentos. Cabe destacar que tales diferencias, no fueron estadísticamente significativas entre ambos grupos (p &gt;0,05</w:t>
      </w:r>
      <w:bookmarkEnd w:id="5"/>
      <w:r w:rsidRPr="00EC568E">
        <w:rPr>
          <w:rFonts w:ascii="Arial" w:eastAsia="Calibri" w:hAnsi="Arial" w:cs="Arial"/>
          <w:sz w:val="24"/>
          <w:szCs w:val="24"/>
          <w:lang w:val="es-AR"/>
        </w:rPr>
        <w:t xml:space="preserve">) (Figura 1). </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sz w:val="24"/>
          <w:szCs w:val="24"/>
          <w:lang w:val="es-AR"/>
        </w:rPr>
        <w:t xml:space="preserve">Por otra parte, </w:t>
      </w:r>
      <w:bookmarkStart w:id="6" w:name="_Hlk490070066"/>
      <w:r w:rsidRPr="00EC568E">
        <w:rPr>
          <w:rFonts w:ascii="Arial" w:eastAsia="Calibri" w:hAnsi="Arial" w:cs="Arial"/>
          <w:sz w:val="24"/>
          <w:szCs w:val="24"/>
          <w:lang w:val="es-AR"/>
        </w:rPr>
        <w:t>los pacientes que recibieron NET presentaron en promedio durante los 3 momentos de estudio valores mayores de PCR, en relación con los que no recibieron tal alimentación de manera significativa (p ≤0,05)</w:t>
      </w:r>
      <w:bookmarkEnd w:id="6"/>
      <w:r>
        <w:rPr>
          <w:rFonts w:ascii="Arial" w:eastAsia="Calibri" w:hAnsi="Arial" w:cs="Arial"/>
          <w:sz w:val="24"/>
          <w:szCs w:val="24"/>
          <w:lang w:val="es-AR"/>
        </w:rPr>
        <w:t>.</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sz w:val="24"/>
          <w:szCs w:val="24"/>
          <w:lang w:val="es-AR"/>
        </w:rPr>
        <w:t>En relación con el score de Apache II medio, no se observaron diferencias estadísticamente significativas entre momentos de estudio (basal y 48 hs) y tampoco entre ambos grupos</w:t>
      </w:r>
      <w:r>
        <w:rPr>
          <w:rFonts w:ascii="Arial" w:eastAsia="Calibri" w:hAnsi="Arial" w:cs="Arial"/>
          <w:sz w:val="24"/>
          <w:szCs w:val="24"/>
          <w:lang w:val="es-AR"/>
        </w:rPr>
        <w:t xml:space="preserve"> (p&gt;0,05)</w:t>
      </w:r>
      <w:r w:rsidRPr="00EC568E">
        <w:rPr>
          <w:rFonts w:ascii="Arial" w:eastAsia="Calibri" w:hAnsi="Arial" w:cs="Arial"/>
          <w:sz w:val="24"/>
          <w:szCs w:val="24"/>
          <w:lang w:val="es-AR"/>
        </w:rPr>
        <w:t>.</w:t>
      </w:r>
    </w:p>
    <w:p w:rsidR="00073393" w:rsidRPr="00EC568E" w:rsidRDefault="00073393" w:rsidP="00073393">
      <w:pPr>
        <w:spacing w:after="200" w:line="360" w:lineRule="auto"/>
        <w:jc w:val="both"/>
        <w:rPr>
          <w:rFonts w:ascii="Arial" w:eastAsia="Calibri" w:hAnsi="Arial" w:cs="Arial"/>
          <w:sz w:val="24"/>
          <w:szCs w:val="24"/>
          <w:lang w:val="es-AR"/>
        </w:rPr>
      </w:pPr>
      <w:r>
        <w:rPr>
          <w:rFonts w:ascii="Arial" w:eastAsia="Calibri" w:hAnsi="Arial" w:cs="Arial"/>
          <w:i/>
          <w:sz w:val="24"/>
          <w:szCs w:val="24"/>
          <w:lang w:val="es-AR"/>
        </w:rPr>
        <w:t>N</w:t>
      </w:r>
      <w:r w:rsidRPr="00EC568E">
        <w:rPr>
          <w:rFonts w:ascii="Arial" w:eastAsia="Calibri" w:hAnsi="Arial" w:cs="Arial"/>
          <w:i/>
          <w:sz w:val="24"/>
          <w:szCs w:val="24"/>
          <w:lang w:val="es-AR"/>
        </w:rPr>
        <w:t xml:space="preserve">ivel de albuminemia: </w:t>
      </w:r>
      <w:bookmarkStart w:id="7" w:name="_Hlk490070127"/>
      <w:r w:rsidRPr="00EC568E">
        <w:rPr>
          <w:rFonts w:ascii="Arial" w:eastAsia="Calibri" w:hAnsi="Arial" w:cs="Arial"/>
          <w:sz w:val="24"/>
          <w:szCs w:val="24"/>
          <w:lang w:val="es-AR"/>
        </w:rPr>
        <w:t xml:space="preserve">Se registró un descenso de los niveles medios de albumina </w:t>
      </w:r>
      <w:bookmarkEnd w:id="7"/>
      <w:r w:rsidRPr="00EC568E">
        <w:rPr>
          <w:rFonts w:ascii="Arial" w:eastAsia="Calibri" w:hAnsi="Arial" w:cs="Arial"/>
          <w:sz w:val="24"/>
          <w:szCs w:val="24"/>
          <w:lang w:val="es-AR"/>
        </w:rPr>
        <w:t xml:space="preserve">entre el momento basal y a las 48 hs, y entre el momento basal y el alta de manera significativa en ambos grupos </w:t>
      </w:r>
      <w:bookmarkStart w:id="8" w:name="_Hlk490070153"/>
      <w:r w:rsidRPr="00EC568E">
        <w:rPr>
          <w:rFonts w:ascii="Arial" w:eastAsia="Calibri" w:hAnsi="Arial" w:cs="Arial"/>
          <w:sz w:val="24"/>
          <w:szCs w:val="24"/>
          <w:lang w:val="es-AR"/>
        </w:rPr>
        <w:t xml:space="preserve">(p ≤0,05) </w:t>
      </w:r>
      <w:bookmarkEnd w:id="8"/>
      <w:r w:rsidRPr="00EC568E">
        <w:rPr>
          <w:rFonts w:ascii="Arial" w:eastAsia="Calibri" w:hAnsi="Arial" w:cs="Arial"/>
          <w:sz w:val="24"/>
          <w:szCs w:val="24"/>
          <w:lang w:val="es-AR"/>
        </w:rPr>
        <w:t xml:space="preserve">(Figura 2). Por otra parte, los valores medios de albumina fueron semejantes en los 3 momentos analizados entre los grupos estudiados (p &gt;0,05). </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i/>
          <w:sz w:val="24"/>
          <w:szCs w:val="24"/>
          <w:lang w:val="es-AR"/>
        </w:rPr>
        <w:t xml:space="preserve">Tiempo de desaparición del dolor abdominal: </w:t>
      </w:r>
      <w:r w:rsidRPr="00EC568E">
        <w:rPr>
          <w:rFonts w:ascii="Arial" w:eastAsia="Calibri" w:hAnsi="Arial" w:cs="Arial"/>
          <w:sz w:val="24"/>
          <w:szCs w:val="24"/>
          <w:lang w:val="es-AR"/>
        </w:rPr>
        <w:t xml:space="preserve">Se observaron valores promedios menores de tiempo de desaparición de dolor en el </w:t>
      </w:r>
      <w:r>
        <w:rPr>
          <w:rFonts w:ascii="Arial" w:eastAsia="Calibri" w:hAnsi="Arial" w:cs="Arial"/>
          <w:sz w:val="24"/>
          <w:szCs w:val="24"/>
          <w:lang w:val="es-AR"/>
        </w:rPr>
        <w:t>G1</w:t>
      </w:r>
      <w:r w:rsidRPr="00EC568E">
        <w:rPr>
          <w:rFonts w:ascii="Arial" w:eastAsia="Calibri" w:hAnsi="Arial" w:cs="Arial"/>
          <w:sz w:val="24"/>
          <w:szCs w:val="24"/>
          <w:lang w:val="es-AR"/>
        </w:rPr>
        <w:t>. Tales diferencias no fueron estadísticamente significativas. En el total de la muestra se presentó una media de 1,78 ±1,4 días.</w:t>
      </w:r>
      <w:r>
        <w:rPr>
          <w:rFonts w:ascii="Arial" w:eastAsia="Calibri" w:hAnsi="Arial" w:cs="Arial"/>
          <w:sz w:val="24"/>
          <w:szCs w:val="24"/>
          <w:lang w:val="es-AR"/>
        </w:rPr>
        <w:t xml:space="preserve"> </w:t>
      </w:r>
    </w:p>
    <w:p w:rsidR="00073393" w:rsidRPr="00EC568E" w:rsidRDefault="00073393" w:rsidP="00073393">
      <w:pPr>
        <w:spacing w:after="200" w:line="360" w:lineRule="auto"/>
        <w:jc w:val="both"/>
        <w:rPr>
          <w:rFonts w:ascii="Arial" w:eastAsia="Calibri" w:hAnsi="Arial" w:cs="Arial"/>
          <w:sz w:val="24"/>
          <w:szCs w:val="24"/>
          <w:lang w:val="es-AR"/>
        </w:rPr>
      </w:pPr>
      <w:r w:rsidRPr="00EC568E">
        <w:rPr>
          <w:rFonts w:ascii="Arial" w:eastAsia="Calibri" w:hAnsi="Arial" w:cs="Arial"/>
          <w:sz w:val="24"/>
          <w:szCs w:val="24"/>
          <w:lang w:val="es-AR"/>
        </w:rPr>
        <w:t>Por otro lado, se pudo observar en ambos grupos, que a medida que aumentan los niveles de PCR, disminuyen los niveles de albumina de manera significativa (p&lt;0,01).</w:t>
      </w:r>
    </w:p>
    <w:p w:rsidR="00073393" w:rsidRDefault="00073393" w:rsidP="00073393">
      <w:pPr>
        <w:keepNext/>
        <w:keepLines/>
        <w:spacing w:before="200" w:after="0"/>
        <w:outlineLvl w:val="1"/>
        <w:rPr>
          <w:rFonts w:ascii="Cambria" w:eastAsia="MS Gothic" w:hAnsi="Cambria" w:cs="Times New Roman"/>
          <w:b/>
          <w:bCs/>
          <w:color w:val="4F81BD"/>
          <w:sz w:val="26"/>
          <w:szCs w:val="26"/>
          <w:lang w:val="es-AR"/>
        </w:rPr>
      </w:pPr>
      <w:r w:rsidRPr="00201FE4">
        <w:rPr>
          <w:rFonts w:ascii="Cambria" w:eastAsia="MS Gothic" w:hAnsi="Cambria" w:cs="Times New Roman"/>
          <w:b/>
          <w:bCs/>
          <w:color w:val="4F81BD"/>
          <w:sz w:val="26"/>
          <w:szCs w:val="26"/>
          <w:lang w:val="es-AR"/>
        </w:rPr>
        <w:t>DISCUSIÓN</w:t>
      </w:r>
    </w:p>
    <w:p w:rsidR="00073393" w:rsidRPr="00073393" w:rsidRDefault="00073393" w:rsidP="00EC4486">
      <w:pPr>
        <w:keepNext/>
        <w:keepLines/>
        <w:spacing w:before="200" w:after="0" w:line="360" w:lineRule="auto"/>
        <w:jc w:val="both"/>
        <w:outlineLvl w:val="1"/>
        <w:rPr>
          <w:rFonts w:ascii="Cambria" w:eastAsia="MS Gothic" w:hAnsi="Cambria" w:cs="Times New Roman"/>
          <w:b/>
          <w:bCs/>
          <w:color w:val="4F81BD"/>
          <w:sz w:val="26"/>
          <w:szCs w:val="26"/>
          <w:lang w:val="es-AR"/>
        </w:rPr>
      </w:pPr>
      <w:r>
        <w:rPr>
          <w:rFonts w:ascii="Cambria" w:eastAsia="MS Gothic" w:hAnsi="Cambria" w:cs="Times New Roman"/>
          <w:b/>
          <w:bCs/>
          <w:color w:val="4F81BD"/>
          <w:sz w:val="26"/>
          <w:szCs w:val="26"/>
          <w:lang w:val="es-AR"/>
        </w:rPr>
        <w:t xml:space="preserve"> </w:t>
      </w:r>
      <w:r w:rsidRPr="00F07C27">
        <w:rPr>
          <w:rFonts w:ascii="Arial" w:eastAsia="Calibri" w:hAnsi="Arial" w:cs="Arial"/>
          <w:sz w:val="24"/>
          <w:szCs w:val="24"/>
          <w:lang w:val="es-AR"/>
        </w:rPr>
        <w:t xml:space="preserve">Históricamente la mayoría de las guías recomendaban dejar en ayuno a los pacientes con PA y, en las PAL la alimentación se incorporaba gradualmente una vez que cesaba el dolor, las náuseas y recuperaba los ruidos hidroaéreos. Diversos estudios han demostrado que el reposo gástrico en PA produciría atrofia de la mucosa intestinal, ocasionando translocación bacteriana y aumentando los índices de complicaciones infecciosas. La reintroducción temprana de una dieta baja en lípidos en pacientes con PAL ha demostrado disminuir la morbilidad y la estadía hospitalaria, aunque el tiempo exacto de inicio sigue siendo controversial. </w:t>
      </w:r>
      <w:r>
        <w:rPr>
          <w:rFonts w:ascii="Arial" w:eastAsia="Calibri" w:hAnsi="Arial" w:cs="Arial"/>
          <w:sz w:val="24"/>
          <w:szCs w:val="24"/>
          <w:vertAlign w:val="superscript"/>
          <w:lang w:val="es-AR"/>
        </w:rPr>
        <w:t>(4, 5, 1</w:t>
      </w:r>
      <w:r w:rsidR="00FF3573">
        <w:rPr>
          <w:rFonts w:ascii="Arial" w:eastAsia="Calibri" w:hAnsi="Arial" w:cs="Arial"/>
          <w:sz w:val="24"/>
          <w:szCs w:val="24"/>
          <w:vertAlign w:val="superscript"/>
          <w:lang w:val="es-AR"/>
        </w:rPr>
        <w:t>6</w:t>
      </w:r>
      <w:r w:rsidRPr="00F07C27">
        <w:rPr>
          <w:rFonts w:ascii="Arial" w:eastAsia="Calibri" w:hAnsi="Arial" w:cs="Arial"/>
          <w:sz w:val="24"/>
          <w:szCs w:val="24"/>
          <w:vertAlign w:val="superscript"/>
          <w:lang w:val="es-AR"/>
        </w:rPr>
        <w:t>)</w:t>
      </w:r>
      <w:r>
        <w:rPr>
          <w:rFonts w:ascii="Arial" w:eastAsia="Calibri" w:hAnsi="Arial" w:cs="Arial"/>
          <w:sz w:val="24"/>
          <w:szCs w:val="24"/>
          <w:vertAlign w:val="superscript"/>
          <w:lang w:val="es-AR"/>
        </w:rPr>
        <w:t xml:space="preserve"> </w:t>
      </w:r>
      <w:r>
        <w:rPr>
          <w:rFonts w:ascii="Arial" w:eastAsia="Calibri" w:hAnsi="Arial" w:cs="Arial"/>
          <w:sz w:val="24"/>
          <w:szCs w:val="24"/>
          <w:lang w:val="es-AR"/>
        </w:rPr>
        <w:t>Estudios recientes manifiestan</w:t>
      </w:r>
      <w:r w:rsidRPr="00F07C27">
        <w:rPr>
          <w:rFonts w:ascii="Arial" w:eastAsia="Calibri" w:hAnsi="Arial" w:cs="Arial"/>
          <w:sz w:val="24"/>
          <w:szCs w:val="24"/>
          <w:lang w:val="es-AR"/>
        </w:rPr>
        <w:t xml:space="preserve"> que </w:t>
      </w:r>
      <w:r>
        <w:rPr>
          <w:rFonts w:ascii="Arial" w:eastAsia="Calibri" w:hAnsi="Arial" w:cs="Arial"/>
          <w:sz w:val="24"/>
          <w:szCs w:val="24"/>
          <w:lang w:val="es-AR"/>
        </w:rPr>
        <w:t>en</w:t>
      </w:r>
      <w:r w:rsidRPr="00F07C27">
        <w:rPr>
          <w:rFonts w:ascii="Arial" w:eastAsia="Calibri" w:hAnsi="Arial" w:cs="Arial"/>
          <w:sz w:val="24"/>
          <w:szCs w:val="24"/>
          <w:lang w:val="es-AR"/>
        </w:rPr>
        <w:t xml:space="preserve"> las PA</w:t>
      </w:r>
      <w:r>
        <w:rPr>
          <w:rFonts w:ascii="Arial" w:eastAsia="Calibri" w:hAnsi="Arial" w:cs="Arial"/>
          <w:sz w:val="24"/>
          <w:szCs w:val="24"/>
          <w:lang w:val="es-AR"/>
        </w:rPr>
        <w:t>, la</w:t>
      </w:r>
      <w:r w:rsidRPr="00F07C27">
        <w:rPr>
          <w:rFonts w:ascii="Arial" w:eastAsia="Calibri" w:hAnsi="Arial" w:cs="Arial"/>
          <w:sz w:val="24"/>
          <w:szCs w:val="24"/>
          <w:lang w:val="es-AR"/>
        </w:rPr>
        <w:t xml:space="preserve"> implementación temprana </w:t>
      </w:r>
      <w:r>
        <w:rPr>
          <w:rFonts w:ascii="Arial" w:eastAsia="Calibri" w:hAnsi="Arial" w:cs="Arial"/>
          <w:sz w:val="24"/>
          <w:szCs w:val="24"/>
          <w:lang w:val="es-AR"/>
        </w:rPr>
        <w:t xml:space="preserve">de la alimentación </w:t>
      </w:r>
      <w:r w:rsidRPr="00F07C27">
        <w:rPr>
          <w:rFonts w:ascii="Arial" w:eastAsia="Calibri" w:hAnsi="Arial" w:cs="Arial"/>
          <w:sz w:val="24"/>
          <w:szCs w:val="24"/>
          <w:lang w:val="es-AR"/>
        </w:rPr>
        <w:t xml:space="preserve">enteral vía oral, directamente con sólidos puede ser bien tolerada desde el ingreso hospitalario, sin esperar a normalizar los niveles de enzimas pancreáticas. No obstante, el rango de intolerancia para este tipo de dieta alcanza el 12.4%. </w:t>
      </w:r>
      <w:r>
        <w:rPr>
          <w:rFonts w:ascii="Arial" w:eastAsia="Calibri" w:hAnsi="Arial" w:cs="Arial"/>
          <w:sz w:val="24"/>
          <w:szCs w:val="24"/>
          <w:vertAlign w:val="superscript"/>
          <w:lang w:val="es-AR"/>
        </w:rPr>
        <w:t>(1</w:t>
      </w:r>
      <w:r w:rsidR="00794C89">
        <w:rPr>
          <w:rFonts w:ascii="Arial" w:eastAsia="Calibri" w:hAnsi="Arial" w:cs="Arial"/>
          <w:sz w:val="24"/>
          <w:szCs w:val="24"/>
          <w:vertAlign w:val="superscript"/>
          <w:lang w:val="es-AR"/>
        </w:rPr>
        <w:t>7</w:t>
      </w:r>
      <w:r>
        <w:rPr>
          <w:rFonts w:ascii="Arial" w:eastAsia="Calibri" w:hAnsi="Arial" w:cs="Arial"/>
          <w:sz w:val="24"/>
          <w:szCs w:val="24"/>
          <w:vertAlign w:val="superscript"/>
          <w:lang w:val="es-AR"/>
        </w:rPr>
        <w:t>, 2</w:t>
      </w:r>
      <w:r w:rsidR="00794C89">
        <w:rPr>
          <w:rFonts w:ascii="Arial" w:eastAsia="Calibri" w:hAnsi="Arial" w:cs="Arial"/>
          <w:sz w:val="24"/>
          <w:szCs w:val="24"/>
          <w:vertAlign w:val="superscript"/>
          <w:lang w:val="es-AR"/>
        </w:rPr>
        <w:t>2</w:t>
      </w:r>
      <w:r w:rsidRPr="00F07C27">
        <w:rPr>
          <w:rFonts w:ascii="Arial" w:eastAsia="Calibri" w:hAnsi="Arial" w:cs="Arial"/>
          <w:sz w:val="24"/>
          <w:szCs w:val="24"/>
          <w:vertAlign w:val="superscript"/>
          <w:lang w:val="es-AR"/>
        </w:rPr>
        <w:t>)</w:t>
      </w:r>
      <w:r>
        <w:rPr>
          <w:rFonts w:ascii="Arial" w:eastAsia="Calibri" w:hAnsi="Arial" w:cs="Arial"/>
          <w:sz w:val="24"/>
          <w:szCs w:val="24"/>
          <w:lang w:val="es-AR"/>
        </w:rPr>
        <w:t xml:space="preserve"> </w:t>
      </w:r>
      <w:r w:rsidRPr="00073393">
        <w:rPr>
          <w:rFonts w:ascii="Arial" w:eastAsia="Calibri" w:hAnsi="Arial" w:cs="Arial"/>
          <w:sz w:val="24"/>
          <w:szCs w:val="24"/>
          <w:lang w:val="es-AR"/>
        </w:rPr>
        <w:t xml:space="preserve">De acuerdo con Ferreira y cols, la PAL es aquella en la cual el páncreas se encuentra edematizado, la respuesta inflamatoria sistémica es leve y, limitada localmente. </w:t>
      </w:r>
      <w:r w:rsidRPr="00073393">
        <w:rPr>
          <w:rFonts w:ascii="Arial" w:eastAsia="Calibri" w:hAnsi="Arial" w:cs="Arial"/>
          <w:sz w:val="24"/>
          <w:szCs w:val="24"/>
          <w:vertAlign w:val="superscript"/>
          <w:lang w:val="es-AR"/>
        </w:rPr>
        <w:t>(</w:t>
      </w:r>
      <w:r w:rsidR="00D36E64">
        <w:rPr>
          <w:rFonts w:ascii="Arial" w:eastAsia="Calibri" w:hAnsi="Arial" w:cs="Arial"/>
          <w:sz w:val="24"/>
          <w:szCs w:val="24"/>
          <w:vertAlign w:val="superscript"/>
          <w:lang w:val="es-AR"/>
        </w:rPr>
        <w:t>11</w:t>
      </w:r>
      <w:r w:rsidRPr="00073393">
        <w:rPr>
          <w:rFonts w:ascii="Arial" w:eastAsia="Calibri" w:hAnsi="Arial" w:cs="Arial"/>
          <w:sz w:val="24"/>
          <w:szCs w:val="24"/>
          <w:vertAlign w:val="superscript"/>
          <w:lang w:val="es-AR"/>
        </w:rPr>
        <w:t>)</w:t>
      </w:r>
    </w:p>
    <w:p w:rsidR="00073393" w:rsidRPr="00201FE4" w:rsidRDefault="00073393" w:rsidP="00073393">
      <w:pPr>
        <w:spacing w:line="360" w:lineRule="auto"/>
        <w:jc w:val="both"/>
        <w:rPr>
          <w:rFonts w:ascii="Arial" w:eastAsia="Calibri" w:hAnsi="Arial" w:cs="Arial"/>
          <w:sz w:val="24"/>
          <w:szCs w:val="24"/>
          <w:vertAlign w:val="superscript"/>
          <w:lang w:val="es-AR"/>
        </w:rPr>
      </w:pPr>
      <w:r w:rsidRPr="00201FE4">
        <w:rPr>
          <w:rFonts w:ascii="Arial" w:eastAsia="Calibri" w:hAnsi="Arial" w:cs="Arial"/>
          <w:sz w:val="24"/>
          <w:szCs w:val="24"/>
          <w:lang w:val="es-AR"/>
        </w:rPr>
        <w:t>Los cambios en el manejo de pacientes con pancreatitis aguda grave, tales como la nutrición enteral, el uso racional de los antibióticos y los cuidados intensivos, han contribuido de manera significativa a la reducción del tiempo de hospitalización y mortalidad.</w:t>
      </w:r>
      <w:r w:rsidRPr="00201FE4">
        <w:rPr>
          <w:rFonts w:ascii="Arial" w:eastAsia="Calibri" w:hAnsi="Arial" w:cs="Arial"/>
          <w:sz w:val="24"/>
          <w:szCs w:val="24"/>
          <w:vertAlign w:val="superscript"/>
          <w:lang w:val="es-AR"/>
        </w:rPr>
        <w:t>(1)</w:t>
      </w:r>
      <w:r w:rsidRPr="00201FE4">
        <w:rPr>
          <w:rFonts w:ascii="Arial" w:eastAsia="Calibri" w:hAnsi="Arial" w:cs="Arial"/>
          <w:sz w:val="24"/>
          <w:szCs w:val="24"/>
          <w:lang w:val="es-AR"/>
        </w:rPr>
        <w:t xml:space="preserve"> Se presentó un metaanálisis de 8 estudios aleatorizados en los que se comparaba originalmente nutrición enteral y parenteral y se pidió a sus autores los datos respecto al momento de inicio de la nutrición enteral; así pudieron comparar el curso clínico de los pacientes con nutrición enteral iniciada en las primeras 24 h</w:t>
      </w:r>
      <w:r>
        <w:rPr>
          <w:rFonts w:ascii="Arial" w:eastAsia="Calibri" w:hAnsi="Arial" w:cs="Arial"/>
          <w:sz w:val="24"/>
          <w:szCs w:val="24"/>
          <w:lang w:val="es-AR"/>
        </w:rPr>
        <w:t>s</w:t>
      </w:r>
      <w:r w:rsidRPr="00201FE4">
        <w:rPr>
          <w:rFonts w:ascii="Arial" w:eastAsia="Calibri" w:hAnsi="Arial" w:cs="Arial"/>
          <w:sz w:val="24"/>
          <w:szCs w:val="24"/>
          <w:lang w:val="es-AR"/>
        </w:rPr>
        <w:t xml:space="preserve"> (n = 100) </w:t>
      </w:r>
      <w:r>
        <w:rPr>
          <w:rFonts w:ascii="Arial" w:eastAsia="Calibri" w:hAnsi="Arial" w:cs="Arial"/>
          <w:sz w:val="24"/>
          <w:szCs w:val="24"/>
          <w:lang w:val="es-AR"/>
        </w:rPr>
        <w:t>de</w:t>
      </w:r>
      <w:r w:rsidRPr="00201FE4">
        <w:rPr>
          <w:rFonts w:ascii="Arial" w:eastAsia="Calibri" w:hAnsi="Arial" w:cs="Arial"/>
          <w:sz w:val="24"/>
          <w:szCs w:val="24"/>
          <w:lang w:val="es-AR"/>
        </w:rPr>
        <w:t xml:space="preserve"> aquellos con un inicio posterior (n = 65). </w:t>
      </w:r>
      <w:r>
        <w:rPr>
          <w:rFonts w:ascii="Arial" w:eastAsia="Calibri" w:hAnsi="Arial" w:cs="Arial"/>
          <w:sz w:val="24"/>
          <w:szCs w:val="24"/>
          <w:lang w:val="es-AR"/>
        </w:rPr>
        <w:t xml:space="preserve">El </w:t>
      </w:r>
      <w:r w:rsidR="00EC4486">
        <w:rPr>
          <w:rFonts w:ascii="Arial" w:eastAsia="Calibri" w:hAnsi="Arial" w:cs="Arial"/>
          <w:sz w:val="24"/>
          <w:szCs w:val="24"/>
          <w:lang w:val="es-AR"/>
        </w:rPr>
        <w:t>análisis</w:t>
      </w:r>
      <w:r>
        <w:rPr>
          <w:rFonts w:ascii="Arial" w:eastAsia="Calibri" w:hAnsi="Arial" w:cs="Arial"/>
          <w:sz w:val="24"/>
          <w:szCs w:val="24"/>
          <w:lang w:val="es-AR"/>
        </w:rPr>
        <w:t xml:space="preserve"> de los</w:t>
      </w:r>
      <w:r w:rsidRPr="00201FE4">
        <w:rPr>
          <w:rFonts w:ascii="Arial" w:eastAsia="Calibri" w:hAnsi="Arial" w:cs="Arial"/>
          <w:sz w:val="24"/>
          <w:szCs w:val="24"/>
          <w:lang w:val="es-AR"/>
        </w:rPr>
        <w:t xml:space="preserve"> resultado</w:t>
      </w:r>
      <w:r>
        <w:rPr>
          <w:rFonts w:ascii="Arial" w:eastAsia="Calibri" w:hAnsi="Arial" w:cs="Arial"/>
          <w:sz w:val="24"/>
          <w:szCs w:val="24"/>
          <w:lang w:val="es-AR"/>
        </w:rPr>
        <w:t>s</w:t>
      </w:r>
      <w:r w:rsidRPr="00201FE4">
        <w:rPr>
          <w:rFonts w:ascii="Arial" w:eastAsia="Calibri" w:hAnsi="Arial" w:cs="Arial"/>
          <w:sz w:val="24"/>
          <w:szCs w:val="24"/>
          <w:lang w:val="es-AR"/>
        </w:rPr>
        <w:t xml:space="preserve"> compuesta</w:t>
      </w:r>
      <w:r>
        <w:rPr>
          <w:rFonts w:ascii="Arial" w:eastAsia="Calibri" w:hAnsi="Arial" w:cs="Arial"/>
          <w:sz w:val="24"/>
          <w:szCs w:val="24"/>
          <w:lang w:val="es-AR"/>
        </w:rPr>
        <w:t xml:space="preserve"> por la</w:t>
      </w:r>
      <w:r w:rsidRPr="00201FE4">
        <w:rPr>
          <w:rFonts w:ascii="Arial" w:eastAsia="Calibri" w:hAnsi="Arial" w:cs="Arial"/>
          <w:sz w:val="24"/>
          <w:szCs w:val="24"/>
          <w:lang w:val="es-AR"/>
        </w:rPr>
        <w:t xml:space="preserve"> infección de necrosis pancreática, fallo orgánico y/o mortalidad</w:t>
      </w:r>
      <w:r>
        <w:rPr>
          <w:rFonts w:ascii="Arial" w:eastAsia="Calibri" w:hAnsi="Arial" w:cs="Arial"/>
          <w:sz w:val="24"/>
          <w:szCs w:val="24"/>
          <w:lang w:val="es-AR"/>
        </w:rPr>
        <w:t xml:space="preserve">, </w:t>
      </w:r>
      <w:r w:rsidRPr="00201FE4">
        <w:rPr>
          <w:rFonts w:ascii="Arial" w:eastAsia="Calibri" w:hAnsi="Arial" w:cs="Arial"/>
          <w:sz w:val="24"/>
          <w:szCs w:val="24"/>
          <w:lang w:val="es-AR"/>
        </w:rPr>
        <w:t>ocurrió menos frecuentemente en los pacientes con nutrición enteral iniciada en las primeras 24 h</w:t>
      </w:r>
      <w:r>
        <w:rPr>
          <w:rFonts w:ascii="Arial" w:eastAsia="Calibri" w:hAnsi="Arial" w:cs="Arial"/>
          <w:sz w:val="24"/>
          <w:szCs w:val="24"/>
          <w:lang w:val="es-AR"/>
        </w:rPr>
        <w:t>s</w:t>
      </w:r>
      <w:r w:rsidRPr="00201FE4">
        <w:rPr>
          <w:rFonts w:ascii="Arial" w:eastAsia="Calibri" w:hAnsi="Arial" w:cs="Arial"/>
          <w:sz w:val="24"/>
          <w:szCs w:val="24"/>
          <w:lang w:val="es-AR"/>
        </w:rPr>
        <w:t xml:space="preserve"> (el 45 frente al 16%; odds ratio: 0,44; intervalo de confianza del 95%, 0,2–0,96) y también se asoció a menor fallo orgánico. </w:t>
      </w:r>
      <w:r>
        <w:rPr>
          <w:rFonts w:ascii="Arial" w:eastAsia="Calibri" w:hAnsi="Arial" w:cs="Arial"/>
          <w:sz w:val="24"/>
          <w:szCs w:val="24"/>
          <w:vertAlign w:val="superscript"/>
          <w:lang w:val="es-AR"/>
        </w:rPr>
        <w:t>(2</w:t>
      </w:r>
      <w:r w:rsidR="00D36E64">
        <w:rPr>
          <w:rFonts w:ascii="Arial" w:eastAsia="Calibri" w:hAnsi="Arial" w:cs="Arial"/>
          <w:sz w:val="24"/>
          <w:szCs w:val="24"/>
          <w:vertAlign w:val="superscript"/>
          <w:lang w:val="es-AR"/>
        </w:rPr>
        <w:t>3</w:t>
      </w:r>
      <w:r>
        <w:rPr>
          <w:rFonts w:ascii="Arial" w:eastAsia="Calibri" w:hAnsi="Arial" w:cs="Arial"/>
          <w:sz w:val="24"/>
          <w:szCs w:val="24"/>
          <w:vertAlign w:val="superscript"/>
          <w:lang w:val="es-AR"/>
        </w:rPr>
        <w:t>, 2</w:t>
      </w:r>
      <w:r w:rsidR="00D36E64">
        <w:rPr>
          <w:rFonts w:ascii="Arial" w:eastAsia="Calibri" w:hAnsi="Arial" w:cs="Arial"/>
          <w:sz w:val="24"/>
          <w:szCs w:val="24"/>
          <w:vertAlign w:val="superscript"/>
          <w:lang w:val="es-AR"/>
        </w:rPr>
        <w:t>4</w:t>
      </w:r>
      <w:r w:rsidRPr="00201FE4">
        <w:rPr>
          <w:rFonts w:ascii="Arial" w:eastAsia="Calibri" w:hAnsi="Arial" w:cs="Arial"/>
          <w:sz w:val="24"/>
          <w:szCs w:val="24"/>
          <w:vertAlign w:val="superscript"/>
          <w:lang w:val="es-AR"/>
        </w:rPr>
        <w:t>)</w:t>
      </w:r>
    </w:p>
    <w:p w:rsidR="00073393" w:rsidRPr="00201FE4" w:rsidRDefault="00073393" w:rsidP="00073393">
      <w:pPr>
        <w:spacing w:line="360" w:lineRule="auto"/>
        <w:jc w:val="both"/>
        <w:rPr>
          <w:rFonts w:ascii="Arial" w:eastAsia="Calibri" w:hAnsi="Arial" w:cs="Arial"/>
          <w:sz w:val="24"/>
          <w:szCs w:val="24"/>
          <w:vertAlign w:val="superscript"/>
          <w:lang w:val="es-AR"/>
        </w:rPr>
      </w:pPr>
      <w:r w:rsidRPr="00201FE4">
        <w:rPr>
          <w:rFonts w:ascii="Arial" w:eastAsia="Calibri" w:hAnsi="Arial" w:cs="Arial"/>
          <w:sz w:val="24"/>
          <w:szCs w:val="24"/>
          <w:lang w:val="es-AR"/>
        </w:rPr>
        <w:t xml:space="preserve">La alimentación por </w:t>
      </w:r>
      <w:r>
        <w:rPr>
          <w:rFonts w:ascii="Arial" w:eastAsia="Calibri" w:hAnsi="Arial" w:cs="Arial"/>
          <w:sz w:val="24"/>
          <w:szCs w:val="24"/>
          <w:lang w:val="es-AR"/>
        </w:rPr>
        <w:t xml:space="preserve">sonda </w:t>
      </w:r>
      <w:r w:rsidRPr="00201FE4">
        <w:rPr>
          <w:rFonts w:ascii="Arial" w:eastAsia="Calibri" w:hAnsi="Arial" w:cs="Arial"/>
          <w:sz w:val="24"/>
          <w:szCs w:val="24"/>
          <w:lang w:val="es-AR"/>
        </w:rPr>
        <w:t xml:space="preserve">nasogástrica se considera tan segura y probablemente </w:t>
      </w:r>
      <w:r>
        <w:rPr>
          <w:rFonts w:ascii="Arial" w:eastAsia="Calibri" w:hAnsi="Arial" w:cs="Arial"/>
          <w:sz w:val="24"/>
          <w:szCs w:val="24"/>
          <w:lang w:val="es-AR"/>
        </w:rPr>
        <w:t>con similares resultados a la</w:t>
      </w:r>
      <w:r w:rsidRPr="00201FE4">
        <w:rPr>
          <w:rFonts w:ascii="Arial" w:eastAsia="Calibri" w:hAnsi="Arial" w:cs="Arial"/>
          <w:sz w:val="24"/>
          <w:szCs w:val="24"/>
          <w:lang w:val="es-AR"/>
        </w:rPr>
        <w:t xml:space="preserve"> alimentación nasoyeyunal. </w:t>
      </w:r>
      <w:r>
        <w:rPr>
          <w:rFonts w:ascii="Arial" w:eastAsia="Calibri" w:hAnsi="Arial" w:cs="Arial"/>
          <w:sz w:val="24"/>
          <w:szCs w:val="24"/>
          <w:vertAlign w:val="superscript"/>
          <w:lang w:val="es-AR"/>
        </w:rPr>
        <w:t>(2</w:t>
      </w:r>
      <w:r w:rsidR="00D36E64">
        <w:rPr>
          <w:rFonts w:ascii="Arial" w:eastAsia="Calibri" w:hAnsi="Arial" w:cs="Arial"/>
          <w:sz w:val="24"/>
          <w:szCs w:val="24"/>
          <w:vertAlign w:val="superscript"/>
          <w:lang w:val="es-AR"/>
        </w:rPr>
        <w:t>5</w:t>
      </w:r>
      <w:r w:rsidRPr="00201FE4">
        <w:rPr>
          <w:rFonts w:ascii="Arial" w:eastAsia="Calibri" w:hAnsi="Arial" w:cs="Arial"/>
          <w:sz w:val="24"/>
          <w:szCs w:val="24"/>
          <w:vertAlign w:val="superscript"/>
          <w:lang w:val="es-AR"/>
        </w:rPr>
        <w:t>)</w:t>
      </w:r>
    </w:p>
    <w:p w:rsidR="00073393" w:rsidRPr="00201FE4"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 xml:space="preserve">Existen muchos más estudios acerca del papel de la nutrición enteral temprana en pacientes con PA severas, en los cuales, claramente la implementación del NET presenta beneficios respecto a la NPT y al NXB. En un estudio de 32 pacientes, McClave </w:t>
      </w:r>
      <w:r>
        <w:rPr>
          <w:rFonts w:ascii="Arial" w:eastAsia="Calibri" w:hAnsi="Arial" w:cs="Arial"/>
          <w:sz w:val="24"/>
          <w:szCs w:val="24"/>
          <w:lang w:val="es-AR"/>
        </w:rPr>
        <w:t>y cols</w:t>
      </w:r>
      <w:r w:rsidRPr="00201FE4">
        <w:rPr>
          <w:rFonts w:ascii="Arial" w:eastAsia="Calibri" w:hAnsi="Arial" w:cs="Arial"/>
          <w:sz w:val="24"/>
          <w:szCs w:val="24"/>
          <w:lang w:val="es-AR"/>
        </w:rPr>
        <w:t xml:space="preserve">., compararon NET mediante sonda nasoyeyunal versus NPT en pacientes con PAL, demostrando que la NET es segura y significativamente menos costosa. </w:t>
      </w:r>
      <w:r>
        <w:rPr>
          <w:rFonts w:ascii="Arial" w:eastAsia="Calibri" w:hAnsi="Arial" w:cs="Arial"/>
          <w:sz w:val="24"/>
          <w:szCs w:val="24"/>
          <w:vertAlign w:val="superscript"/>
          <w:lang w:val="es-AR"/>
        </w:rPr>
        <w:t>(2</w:t>
      </w:r>
      <w:r w:rsidR="00D36E64">
        <w:rPr>
          <w:rFonts w:ascii="Arial" w:eastAsia="Calibri" w:hAnsi="Arial" w:cs="Arial"/>
          <w:sz w:val="24"/>
          <w:szCs w:val="24"/>
          <w:vertAlign w:val="superscript"/>
          <w:lang w:val="es-AR"/>
        </w:rPr>
        <w:t>6</w:t>
      </w:r>
      <w:r w:rsidRPr="00201FE4">
        <w:rPr>
          <w:rFonts w:ascii="Arial" w:eastAsia="Calibri" w:hAnsi="Arial" w:cs="Arial"/>
          <w:sz w:val="24"/>
          <w:szCs w:val="24"/>
          <w:vertAlign w:val="superscript"/>
          <w:lang w:val="es-AR"/>
        </w:rPr>
        <w:t>)</w:t>
      </w:r>
      <w:r>
        <w:rPr>
          <w:rFonts w:ascii="Arial" w:eastAsia="Calibri" w:hAnsi="Arial" w:cs="Arial"/>
          <w:sz w:val="24"/>
          <w:szCs w:val="24"/>
          <w:vertAlign w:val="superscript"/>
          <w:lang w:val="es-AR"/>
        </w:rPr>
        <w:t xml:space="preserve"> </w:t>
      </w:r>
      <w:r w:rsidRPr="00201FE4">
        <w:rPr>
          <w:rFonts w:ascii="Arial" w:eastAsia="Calibri" w:hAnsi="Arial" w:cs="Arial"/>
          <w:sz w:val="24"/>
          <w:szCs w:val="24"/>
          <w:lang w:val="es-AR"/>
        </w:rPr>
        <w:t xml:space="preserve">Resultados similares fueron hallados por Abou-Assi </w:t>
      </w:r>
      <w:r>
        <w:rPr>
          <w:rFonts w:ascii="Arial" w:eastAsia="Calibri" w:hAnsi="Arial" w:cs="Arial"/>
          <w:sz w:val="24"/>
          <w:szCs w:val="24"/>
          <w:lang w:val="es-AR"/>
        </w:rPr>
        <w:t>y cols</w:t>
      </w:r>
      <w:r w:rsidRPr="00201FE4">
        <w:rPr>
          <w:rFonts w:ascii="Arial" w:eastAsia="Calibri" w:hAnsi="Arial" w:cs="Arial"/>
          <w:sz w:val="24"/>
          <w:szCs w:val="24"/>
          <w:lang w:val="es-AR"/>
        </w:rPr>
        <w:t xml:space="preserve">. </w:t>
      </w:r>
      <w:r>
        <w:rPr>
          <w:rFonts w:ascii="Arial" w:eastAsia="Calibri" w:hAnsi="Arial" w:cs="Arial"/>
          <w:sz w:val="24"/>
          <w:szCs w:val="24"/>
          <w:vertAlign w:val="superscript"/>
          <w:lang w:val="es-AR"/>
        </w:rPr>
        <w:t>(2</w:t>
      </w:r>
      <w:r w:rsidR="00227903">
        <w:rPr>
          <w:rFonts w:ascii="Arial" w:eastAsia="Calibri" w:hAnsi="Arial" w:cs="Arial"/>
          <w:sz w:val="24"/>
          <w:szCs w:val="24"/>
          <w:vertAlign w:val="superscript"/>
          <w:lang w:val="es-AR"/>
        </w:rPr>
        <w:t>7</w:t>
      </w:r>
      <w:r w:rsidRPr="00201FE4">
        <w:rPr>
          <w:rFonts w:ascii="Arial" w:eastAsia="Calibri" w:hAnsi="Arial" w:cs="Arial"/>
          <w:sz w:val="24"/>
          <w:szCs w:val="24"/>
          <w:vertAlign w:val="superscript"/>
          <w:lang w:val="es-AR"/>
        </w:rPr>
        <w:t>)</w:t>
      </w:r>
    </w:p>
    <w:p w:rsidR="00073393" w:rsidRPr="00201FE4" w:rsidRDefault="00073393" w:rsidP="00073393">
      <w:pPr>
        <w:spacing w:after="200" w:line="360" w:lineRule="auto"/>
        <w:jc w:val="both"/>
        <w:rPr>
          <w:rFonts w:ascii="Arial" w:eastAsia="Calibri" w:hAnsi="Arial" w:cs="Arial"/>
          <w:sz w:val="24"/>
          <w:szCs w:val="24"/>
          <w:vertAlign w:val="superscript"/>
          <w:lang w:val="es-AR"/>
        </w:rPr>
      </w:pPr>
      <w:r w:rsidRPr="00201FE4">
        <w:rPr>
          <w:rFonts w:ascii="Arial" w:eastAsia="Calibri" w:hAnsi="Arial" w:cs="Arial"/>
          <w:sz w:val="24"/>
          <w:szCs w:val="24"/>
          <w:lang w:val="es-AR"/>
        </w:rPr>
        <w:t xml:space="preserve">En relación con la estadía hospitalaria, Li j </w:t>
      </w:r>
      <w:r>
        <w:rPr>
          <w:rFonts w:ascii="Arial" w:eastAsia="Calibri" w:hAnsi="Arial" w:cs="Arial"/>
          <w:sz w:val="24"/>
          <w:szCs w:val="24"/>
          <w:lang w:val="es-AR"/>
        </w:rPr>
        <w:t>y cols.</w:t>
      </w:r>
      <w:r w:rsidRPr="00201FE4">
        <w:rPr>
          <w:rFonts w:ascii="Arial" w:eastAsia="Calibri" w:hAnsi="Arial" w:cs="Arial"/>
          <w:sz w:val="24"/>
          <w:szCs w:val="24"/>
          <w:lang w:val="es-AR"/>
        </w:rPr>
        <w:t xml:space="preserve"> estudiaron 74 pacientes divididos en dos grupos, uno de ellos con alimentación temprana y el otro con realimentación estándar. En el primer grupo fue evidente la disminución de la estadía hospitalaria (2.24 ± 0.52 vs 3.27 ± 0.61 days; P &lt; 0.01). </w:t>
      </w:r>
      <w:r>
        <w:rPr>
          <w:rFonts w:ascii="Arial" w:eastAsia="Calibri" w:hAnsi="Arial" w:cs="Arial"/>
          <w:sz w:val="24"/>
          <w:szCs w:val="24"/>
          <w:vertAlign w:val="superscript"/>
          <w:lang w:val="es-AR"/>
        </w:rPr>
        <w:t>(2</w:t>
      </w:r>
      <w:r w:rsidR="00227903">
        <w:rPr>
          <w:rFonts w:ascii="Arial" w:eastAsia="Calibri" w:hAnsi="Arial" w:cs="Arial"/>
          <w:sz w:val="24"/>
          <w:szCs w:val="24"/>
          <w:vertAlign w:val="superscript"/>
          <w:lang w:val="es-AR"/>
        </w:rPr>
        <w:t>8</w:t>
      </w:r>
      <w:r w:rsidRPr="00201FE4">
        <w:rPr>
          <w:rFonts w:ascii="Arial" w:eastAsia="Calibri" w:hAnsi="Arial" w:cs="Arial"/>
          <w:sz w:val="24"/>
          <w:szCs w:val="24"/>
          <w:vertAlign w:val="superscript"/>
          <w:lang w:val="es-AR"/>
        </w:rPr>
        <w:t xml:space="preserve">)  </w:t>
      </w:r>
      <w:r>
        <w:rPr>
          <w:rFonts w:ascii="Arial" w:eastAsia="Calibri" w:hAnsi="Arial" w:cs="Arial"/>
          <w:sz w:val="24"/>
          <w:szCs w:val="24"/>
          <w:lang w:val="es-AR"/>
        </w:rPr>
        <w:t>Conceptos compartidos</w:t>
      </w:r>
      <w:r w:rsidRPr="00201FE4">
        <w:rPr>
          <w:rFonts w:ascii="Arial" w:eastAsia="Calibri" w:hAnsi="Arial" w:cs="Arial"/>
          <w:sz w:val="24"/>
          <w:szCs w:val="24"/>
          <w:lang w:val="es-AR"/>
        </w:rPr>
        <w:t xml:space="preserve"> por Lariño-Noia </w:t>
      </w:r>
      <w:r>
        <w:rPr>
          <w:rFonts w:ascii="Arial" w:eastAsia="Calibri" w:hAnsi="Arial" w:cs="Arial"/>
          <w:sz w:val="24"/>
          <w:szCs w:val="24"/>
          <w:lang w:val="es-AR"/>
        </w:rPr>
        <w:t xml:space="preserve">y cols, </w:t>
      </w:r>
      <w:r w:rsidRPr="00201FE4">
        <w:rPr>
          <w:rFonts w:ascii="Arial" w:eastAsia="Calibri" w:hAnsi="Arial" w:cs="Arial"/>
          <w:sz w:val="24"/>
          <w:szCs w:val="24"/>
          <w:lang w:val="es-AR"/>
        </w:rPr>
        <w:t xml:space="preserve">Eckerwall </w:t>
      </w:r>
      <w:r>
        <w:rPr>
          <w:rFonts w:ascii="Arial" w:eastAsia="Calibri" w:hAnsi="Arial" w:cs="Arial"/>
          <w:sz w:val="24"/>
          <w:szCs w:val="24"/>
          <w:lang w:val="es-AR"/>
        </w:rPr>
        <w:t>y cols</w:t>
      </w:r>
      <w:r w:rsidRPr="00201FE4">
        <w:rPr>
          <w:rFonts w:ascii="Arial" w:eastAsia="Calibri" w:hAnsi="Arial" w:cs="Arial"/>
          <w:sz w:val="24"/>
          <w:szCs w:val="24"/>
          <w:lang w:val="es-AR"/>
        </w:rPr>
        <w:t xml:space="preserve"> y Rajkumar </w:t>
      </w:r>
      <w:r>
        <w:rPr>
          <w:rFonts w:ascii="Arial" w:eastAsia="Calibri" w:hAnsi="Arial" w:cs="Arial"/>
          <w:sz w:val="24"/>
          <w:szCs w:val="24"/>
          <w:lang w:val="es-AR"/>
        </w:rPr>
        <w:t>y cols.</w:t>
      </w:r>
      <w:r>
        <w:rPr>
          <w:rFonts w:ascii="Arial" w:eastAsia="Calibri" w:hAnsi="Arial" w:cs="Arial"/>
          <w:sz w:val="24"/>
          <w:szCs w:val="24"/>
          <w:vertAlign w:val="superscript"/>
          <w:lang w:val="es-AR"/>
        </w:rPr>
        <w:t xml:space="preserve"> (1</w:t>
      </w:r>
      <w:r w:rsidR="00227903">
        <w:rPr>
          <w:rFonts w:ascii="Arial" w:eastAsia="Calibri" w:hAnsi="Arial" w:cs="Arial"/>
          <w:sz w:val="24"/>
          <w:szCs w:val="24"/>
          <w:vertAlign w:val="superscript"/>
          <w:lang w:val="es-AR"/>
        </w:rPr>
        <w:t>8</w:t>
      </w:r>
      <w:r>
        <w:rPr>
          <w:rFonts w:ascii="Arial" w:eastAsia="Calibri" w:hAnsi="Arial" w:cs="Arial"/>
          <w:sz w:val="24"/>
          <w:szCs w:val="24"/>
          <w:vertAlign w:val="superscript"/>
          <w:lang w:val="es-AR"/>
        </w:rPr>
        <w:t>, 1</w:t>
      </w:r>
      <w:r w:rsidR="00227903">
        <w:rPr>
          <w:rFonts w:ascii="Arial" w:eastAsia="Calibri" w:hAnsi="Arial" w:cs="Arial"/>
          <w:sz w:val="24"/>
          <w:szCs w:val="24"/>
          <w:vertAlign w:val="superscript"/>
          <w:lang w:val="es-AR"/>
        </w:rPr>
        <w:t>9,</w:t>
      </w:r>
      <w:r>
        <w:rPr>
          <w:rFonts w:ascii="Arial" w:eastAsia="Calibri" w:hAnsi="Arial" w:cs="Arial"/>
          <w:sz w:val="24"/>
          <w:szCs w:val="24"/>
          <w:vertAlign w:val="superscript"/>
          <w:lang w:val="es-AR"/>
        </w:rPr>
        <w:t xml:space="preserve"> 2</w:t>
      </w:r>
      <w:r w:rsidR="00227903">
        <w:rPr>
          <w:rFonts w:ascii="Arial" w:eastAsia="Calibri" w:hAnsi="Arial" w:cs="Arial"/>
          <w:sz w:val="24"/>
          <w:szCs w:val="24"/>
          <w:vertAlign w:val="superscript"/>
          <w:lang w:val="es-AR"/>
        </w:rPr>
        <w:t>9</w:t>
      </w:r>
      <w:r w:rsidRPr="00201FE4">
        <w:rPr>
          <w:rFonts w:ascii="Arial" w:eastAsia="Calibri" w:hAnsi="Arial" w:cs="Arial"/>
          <w:sz w:val="24"/>
          <w:szCs w:val="24"/>
          <w:vertAlign w:val="superscript"/>
          <w:lang w:val="es-AR"/>
        </w:rPr>
        <w:t>)</w:t>
      </w:r>
    </w:p>
    <w:p w:rsidR="00073393" w:rsidRPr="00201FE4"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 xml:space="preserve">En nuestro estudio el </w:t>
      </w:r>
      <w:r>
        <w:rPr>
          <w:rFonts w:ascii="Arial" w:eastAsia="Calibri" w:hAnsi="Arial" w:cs="Arial"/>
          <w:sz w:val="24"/>
          <w:szCs w:val="24"/>
          <w:lang w:val="es-AR"/>
        </w:rPr>
        <w:t>G2</w:t>
      </w:r>
      <w:r w:rsidRPr="00201FE4">
        <w:rPr>
          <w:rFonts w:ascii="Arial" w:eastAsia="Calibri" w:hAnsi="Arial" w:cs="Arial"/>
          <w:sz w:val="24"/>
          <w:szCs w:val="24"/>
          <w:lang w:val="es-AR"/>
        </w:rPr>
        <w:t xml:space="preserve"> presentó un mayor promedio de estadía hospitalaria en relación con el </w:t>
      </w:r>
      <w:r>
        <w:rPr>
          <w:rFonts w:ascii="Arial" w:eastAsia="Calibri" w:hAnsi="Arial" w:cs="Arial"/>
          <w:sz w:val="24"/>
          <w:szCs w:val="24"/>
          <w:lang w:val="es-AR"/>
        </w:rPr>
        <w:t>G1</w:t>
      </w:r>
      <w:r w:rsidRPr="00201FE4">
        <w:rPr>
          <w:rFonts w:ascii="Arial" w:eastAsia="Calibri" w:hAnsi="Arial" w:cs="Arial"/>
          <w:sz w:val="24"/>
          <w:szCs w:val="24"/>
          <w:lang w:val="es-AR"/>
        </w:rPr>
        <w:t>.</w:t>
      </w:r>
      <w:r>
        <w:rPr>
          <w:rFonts w:ascii="Arial" w:eastAsia="Calibri" w:hAnsi="Arial" w:cs="Arial"/>
          <w:sz w:val="24"/>
          <w:szCs w:val="24"/>
          <w:lang w:val="es-AR"/>
        </w:rPr>
        <w:t xml:space="preserve"> </w:t>
      </w:r>
      <w:r w:rsidRPr="00201FE4">
        <w:rPr>
          <w:rFonts w:ascii="Arial" w:eastAsia="Calibri" w:hAnsi="Arial" w:cs="Arial"/>
          <w:sz w:val="24"/>
          <w:szCs w:val="24"/>
          <w:lang w:val="es-AR"/>
        </w:rPr>
        <w:t>Sin embargo, tales diferencias no fueron estadísticamente significativas (p &gt;0,05), ello podría deberse al escaso tamaño de la muestra.</w:t>
      </w:r>
    </w:p>
    <w:p w:rsidR="00073393" w:rsidRPr="00201FE4"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 xml:space="preserve">En el estudio de Lariño-Noeia </w:t>
      </w:r>
      <w:r>
        <w:rPr>
          <w:rFonts w:ascii="Arial" w:eastAsia="Calibri" w:hAnsi="Arial" w:cs="Arial"/>
          <w:sz w:val="24"/>
          <w:szCs w:val="24"/>
          <w:lang w:val="es-AR"/>
        </w:rPr>
        <w:t>y cols.</w:t>
      </w:r>
      <w:r w:rsidRPr="00201FE4">
        <w:rPr>
          <w:rFonts w:ascii="Arial" w:eastAsia="Calibri" w:hAnsi="Arial" w:cs="Arial"/>
          <w:sz w:val="24"/>
          <w:szCs w:val="24"/>
          <w:lang w:val="es-AR"/>
        </w:rPr>
        <w:t xml:space="preserve"> </w:t>
      </w:r>
      <w:r>
        <w:rPr>
          <w:rFonts w:ascii="Arial" w:eastAsia="Calibri" w:hAnsi="Arial" w:cs="Arial"/>
          <w:sz w:val="24"/>
          <w:szCs w:val="24"/>
          <w:vertAlign w:val="superscript"/>
          <w:lang w:val="es-AR"/>
        </w:rPr>
        <w:t>(1</w:t>
      </w:r>
      <w:r w:rsidR="00504335">
        <w:rPr>
          <w:rFonts w:ascii="Arial" w:eastAsia="Calibri" w:hAnsi="Arial" w:cs="Arial"/>
          <w:sz w:val="24"/>
          <w:szCs w:val="24"/>
          <w:vertAlign w:val="superscript"/>
          <w:lang w:val="es-AR"/>
        </w:rPr>
        <w:t>8</w:t>
      </w:r>
      <w:r w:rsidRPr="00201FE4">
        <w:rPr>
          <w:rFonts w:ascii="Arial" w:eastAsia="Calibri" w:hAnsi="Arial" w:cs="Arial"/>
          <w:sz w:val="24"/>
          <w:szCs w:val="24"/>
          <w:vertAlign w:val="superscript"/>
          <w:lang w:val="es-AR"/>
        </w:rPr>
        <w:t>)</w:t>
      </w:r>
      <w:r w:rsidRPr="00201FE4">
        <w:rPr>
          <w:rFonts w:ascii="Arial" w:eastAsia="Calibri" w:hAnsi="Arial" w:cs="Arial"/>
          <w:sz w:val="24"/>
          <w:szCs w:val="24"/>
          <w:lang w:val="es-AR"/>
        </w:rPr>
        <w:t>, se implementó el uso de una dieta hipercalórica baja en lípidos versus una dieta estándar. Si bien esta dieta hipercalórica demostró ser bien tolerada aun implementándola precozmente, no demostr</w:t>
      </w:r>
      <w:r>
        <w:rPr>
          <w:rFonts w:ascii="Arial" w:eastAsia="Calibri" w:hAnsi="Arial" w:cs="Arial"/>
          <w:sz w:val="24"/>
          <w:szCs w:val="24"/>
          <w:lang w:val="es-AR"/>
        </w:rPr>
        <w:t>aron</w:t>
      </w:r>
      <w:r w:rsidRPr="00201FE4">
        <w:rPr>
          <w:rFonts w:ascii="Arial" w:eastAsia="Calibri" w:hAnsi="Arial" w:cs="Arial"/>
          <w:sz w:val="24"/>
          <w:szCs w:val="24"/>
          <w:lang w:val="es-AR"/>
        </w:rPr>
        <w:t xml:space="preserve"> disminuir la estadía hospitalaria, en comparación con la dieta estándar. En este estudio no se midieron parámetros nutricionales.</w:t>
      </w:r>
    </w:p>
    <w:p w:rsidR="00073393" w:rsidRPr="00201FE4"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 xml:space="preserve">Petrov </w:t>
      </w:r>
      <w:r>
        <w:rPr>
          <w:rFonts w:ascii="Arial" w:eastAsia="Calibri" w:hAnsi="Arial" w:cs="Arial"/>
          <w:sz w:val="24"/>
          <w:szCs w:val="24"/>
          <w:lang w:val="es-AR"/>
        </w:rPr>
        <w:t>y cols.</w:t>
      </w:r>
      <w:r w:rsidRPr="00201FE4">
        <w:rPr>
          <w:rFonts w:ascii="Arial" w:eastAsia="Calibri" w:hAnsi="Arial" w:cs="Arial"/>
          <w:sz w:val="24"/>
          <w:szCs w:val="24"/>
          <w:lang w:val="es-AR"/>
        </w:rPr>
        <w:t xml:space="preserve"> en un estudio sobre 35 pacientes, concluyeron que la NET disminuye la intensidad y duración del dolor abdominal, el uso de opioides y la intolerancia alimenticia. </w:t>
      </w:r>
      <w:r>
        <w:rPr>
          <w:rFonts w:ascii="Arial" w:eastAsia="Calibri" w:hAnsi="Arial" w:cs="Arial"/>
          <w:sz w:val="24"/>
          <w:szCs w:val="24"/>
          <w:vertAlign w:val="superscript"/>
          <w:lang w:val="es-AR"/>
        </w:rPr>
        <w:t>(</w:t>
      </w:r>
      <w:r w:rsidR="00504335">
        <w:rPr>
          <w:rFonts w:ascii="Arial" w:eastAsia="Calibri" w:hAnsi="Arial" w:cs="Arial"/>
          <w:sz w:val="24"/>
          <w:szCs w:val="24"/>
          <w:vertAlign w:val="superscript"/>
          <w:lang w:val="es-AR"/>
        </w:rPr>
        <w:t>30</w:t>
      </w:r>
      <w:r w:rsidRPr="00201FE4">
        <w:rPr>
          <w:rFonts w:ascii="Arial" w:eastAsia="Calibri" w:hAnsi="Arial" w:cs="Arial"/>
          <w:sz w:val="24"/>
          <w:szCs w:val="24"/>
          <w:vertAlign w:val="superscript"/>
          <w:lang w:val="es-AR"/>
        </w:rPr>
        <w:t>)</w:t>
      </w:r>
      <w:r w:rsidRPr="00201FE4">
        <w:rPr>
          <w:rFonts w:ascii="Arial" w:eastAsia="Calibri" w:hAnsi="Arial" w:cs="Arial"/>
          <w:sz w:val="24"/>
          <w:szCs w:val="24"/>
          <w:lang w:val="es-AR"/>
        </w:rPr>
        <w:t xml:space="preserve">  Por otro lado, Eckerwall </w:t>
      </w:r>
      <w:r>
        <w:rPr>
          <w:rFonts w:ascii="Arial" w:eastAsia="Calibri" w:hAnsi="Arial" w:cs="Arial"/>
          <w:sz w:val="24"/>
          <w:szCs w:val="24"/>
          <w:lang w:val="es-AR"/>
        </w:rPr>
        <w:t>y cols.</w:t>
      </w:r>
      <w:r w:rsidRPr="00201FE4">
        <w:rPr>
          <w:rFonts w:ascii="Arial" w:eastAsia="Calibri" w:hAnsi="Arial" w:cs="Arial"/>
          <w:sz w:val="24"/>
          <w:szCs w:val="24"/>
          <w:lang w:val="es-AR"/>
        </w:rPr>
        <w:t xml:space="preserve"> </w:t>
      </w:r>
      <w:r>
        <w:rPr>
          <w:rFonts w:ascii="Arial" w:eastAsia="Calibri" w:hAnsi="Arial" w:cs="Arial"/>
          <w:sz w:val="24"/>
          <w:szCs w:val="24"/>
          <w:vertAlign w:val="superscript"/>
          <w:lang w:val="es-AR"/>
        </w:rPr>
        <w:t>(1</w:t>
      </w:r>
      <w:r w:rsidR="00504335">
        <w:rPr>
          <w:rFonts w:ascii="Arial" w:eastAsia="Calibri" w:hAnsi="Arial" w:cs="Arial"/>
          <w:sz w:val="24"/>
          <w:szCs w:val="24"/>
          <w:vertAlign w:val="superscript"/>
          <w:lang w:val="es-AR"/>
        </w:rPr>
        <w:t>9</w:t>
      </w:r>
      <w:r w:rsidRPr="00201FE4">
        <w:rPr>
          <w:rFonts w:ascii="Arial" w:eastAsia="Calibri" w:hAnsi="Arial" w:cs="Arial"/>
          <w:sz w:val="24"/>
          <w:szCs w:val="24"/>
          <w:vertAlign w:val="superscript"/>
          <w:lang w:val="es-AR"/>
        </w:rPr>
        <w:t>)</w:t>
      </w:r>
      <w:r w:rsidRPr="00201FE4">
        <w:rPr>
          <w:rFonts w:ascii="Arial" w:eastAsia="Calibri" w:hAnsi="Arial" w:cs="Arial"/>
          <w:sz w:val="24"/>
          <w:szCs w:val="24"/>
          <w:lang w:val="es-AR"/>
        </w:rPr>
        <w:t xml:space="preserve"> y Teich </w:t>
      </w:r>
      <w:r>
        <w:rPr>
          <w:rFonts w:ascii="Arial" w:eastAsia="Calibri" w:hAnsi="Arial" w:cs="Arial"/>
          <w:sz w:val="24"/>
          <w:szCs w:val="24"/>
          <w:lang w:val="es-AR"/>
        </w:rPr>
        <w:t>y cols.</w:t>
      </w:r>
      <w:r w:rsidRPr="00201FE4">
        <w:rPr>
          <w:rFonts w:ascii="Arial" w:eastAsia="Calibri" w:hAnsi="Arial" w:cs="Arial"/>
          <w:sz w:val="24"/>
          <w:szCs w:val="24"/>
          <w:lang w:val="es-AR"/>
        </w:rPr>
        <w:t xml:space="preserve"> </w:t>
      </w:r>
      <w:r>
        <w:rPr>
          <w:rFonts w:ascii="Arial" w:eastAsia="Calibri" w:hAnsi="Arial" w:cs="Arial"/>
          <w:sz w:val="24"/>
          <w:szCs w:val="24"/>
          <w:vertAlign w:val="superscript"/>
          <w:lang w:val="es-AR"/>
        </w:rPr>
        <w:t>(</w:t>
      </w:r>
      <w:r w:rsidR="00504335">
        <w:rPr>
          <w:rFonts w:ascii="Arial" w:eastAsia="Calibri" w:hAnsi="Arial" w:cs="Arial"/>
          <w:sz w:val="24"/>
          <w:szCs w:val="24"/>
          <w:vertAlign w:val="superscript"/>
          <w:lang w:val="es-AR"/>
        </w:rPr>
        <w:t>21</w:t>
      </w:r>
      <w:r w:rsidRPr="00201FE4">
        <w:rPr>
          <w:rFonts w:ascii="Arial" w:eastAsia="Calibri" w:hAnsi="Arial" w:cs="Arial"/>
          <w:sz w:val="24"/>
          <w:szCs w:val="24"/>
          <w:vertAlign w:val="superscript"/>
          <w:lang w:val="es-AR"/>
        </w:rPr>
        <w:t>)</w:t>
      </w:r>
      <w:r w:rsidRPr="00201FE4">
        <w:rPr>
          <w:rFonts w:ascii="Arial" w:eastAsia="Calibri" w:hAnsi="Arial" w:cs="Arial"/>
          <w:sz w:val="24"/>
          <w:szCs w:val="24"/>
          <w:lang w:val="es-AR"/>
        </w:rPr>
        <w:t xml:space="preserve"> no encontraron diferencias significativas en relación con la desaparición del dolor abdominal. En nuestro trabajo, aunque se observaron valores promedios menores de tiempo de desaparición de dolor en el </w:t>
      </w:r>
      <w:r>
        <w:rPr>
          <w:rFonts w:ascii="Arial" w:eastAsia="Calibri" w:hAnsi="Arial" w:cs="Arial"/>
          <w:sz w:val="24"/>
          <w:szCs w:val="24"/>
          <w:lang w:val="es-AR"/>
        </w:rPr>
        <w:t>G1</w:t>
      </w:r>
      <w:r w:rsidRPr="00201FE4">
        <w:rPr>
          <w:rFonts w:ascii="Arial" w:eastAsia="Calibri" w:hAnsi="Arial" w:cs="Arial"/>
          <w:sz w:val="24"/>
          <w:szCs w:val="24"/>
          <w:lang w:val="es-AR"/>
        </w:rPr>
        <w:t xml:space="preserve"> en relación con el </w:t>
      </w:r>
      <w:r>
        <w:rPr>
          <w:rFonts w:ascii="Arial" w:eastAsia="Calibri" w:hAnsi="Arial" w:cs="Arial"/>
          <w:sz w:val="24"/>
          <w:szCs w:val="24"/>
          <w:lang w:val="es-AR"/>
        </w:rPr>
        <w:t>G2</w:t>
      </w:r>
      <w:r w:rsidRPr="00201FE4">
        <w:rPr>
          <w:rFonts w:ascii="Arial" w:eastAsia="Calibri" w:hAnsi="Arial" w:cs="Arial"/>
          <w:sz w:val="24"/>
          <w:szCs w:val="24"/>
          <w:lang w:val="es-AR"/>
        </w:rPr>
        <w:t>, tales diferencias no fueron estadísticamente significativa. En el total de la muestra se presentó una media de 1,78 ± 1,4 días.</w:t>
      </w:r>
    </w:p>
    <w:p w:rsidR="00073393" w:rsidRPr="00201FE4"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 xml:space="preserve">En </w:t>
      </w:r>
      <w:r>
        <w:rPr>
          <w:rFonts w:ascii="Arial" w:eastAsia="Calibri" w:hAnsi="Arial" w:cs="Arial"/>
          <w:sz w:val="24"/>
          <w:szCs w:val="24"/>
          <w:lang w:val="es-AR"/>
        </w:rPr>
        <w:t>el presente estudio</w:t>
      </w:r>
      <w:r w:rsidRPr="00201FE4">
        <w:rPr>
          <w:rFonts w:ascii="Arial" w:eastAsia="Calibri" w:hAnsi="Arial" w:cs="Arial"/>
          <w:sz w:val="24"/>
          <w:szCs w:val="24"/>
          <w:lang w:val="es-AR"/>
        </w:rPr>
        <w:t xml:space="preserve"> se registró un descenso de los niveles medios de albumina entre el momento basal y a las 48 hs, y entre el momento basal y el alta de manera significativa en ambos grupos. Por otra parte, los valores medios de albumina fueron semejantes en los 3 momentos de estudio entre los grupos (p &gt;0,05). En relación con la respuesta inflamatoria, en el </w:t>
      </w:r>
      <w:r>
        <w:rPr>
          <w:rFonts w:ascii="Arial" w:eastAsia="Calibri" w:hAnsi="Arial" w:cs="Arial"/>
          <w:sz w:val="24"/>
          <w:szCs w:val="24"/>
          <w:lang w:val="es-AR"/>
        </w:rPr>
        <w:t>G1</w:t>
      </w:r>
      <w:r w:rsidRPr="00201FE4">
        <w:rPr>
          <w:rFonts w:ascii="Arial" w:eastAsia="Calibri" w:hAnsi="Arial" w:cs="Arial"/>
          <w:sz w:val="24"/>
          <w:szCs w:val="24"/>
          <w:lang w:val="es-AR"/>
        </w:rPr>
        <w:t xml:space="preserve"> y el </w:t>
      </w:r>
      <w:r>
        <w:rPr>
          <w:rFonts w:ascii="Arial" w:eastAsia="Calibri" w:hAnsi="Arial" w:cs="Arial"/>
          <w:sz w:val="24"/>
          <w:szCs w:val="24"/>
          <w:lang w:val="es-AR"/>
        </w:rPr>
        <w:t>G2</w:t>
      </w:r>
      <w:r w:rsidRPr="00201FE4">
        <w:rPr>
          <w:rFonts w:ascii="Arial" w:eastAsia="Calibri" w:hAnsi="Arial" w:cs="Arial"/>
          <w:sz w:val="24"/>
          <w:szCs w:val="24"/>
          <w:lang w:val="es-AR"/>
        </w:rPr>
        <w:t xml:space="preserve"> se registró un ascenso de los valores promedios de PCR entre el momento basal y a las 48 hs. En el primer grupo, se observó nuevamente un ascenso entre el momento basal y el pre-quirúrgico; por su parte, el </w:t>
      </w:r>
      <w:r>
        <w:rPr>
          <w:rFonts w:ascii="Arial" w:eastAsia="Calibri" w:hAnsi="Arial" w:cs="Arial"/>
          <w:sz w:val="24"/>
          <w:szCs w:val="24"/>
          <w:lang w:val="es-AR"/>
        </w:rPr>
        <w:t>G2</w:t>
      </w:r>
      <w:r w:rsidRPr="00201FE4">
        <w:rPr>
          <w:rFonts w:ascii="Arial" w:eastAsia="Calibri" w:hAnsi="Arial" w:cs="Arial"/>
          <w:sz w:val="24"/>
          <w:szCs w:val="24"/>
          <w:lang w:val="es-AR"/>
        </w:rPr>
        <w:t xml:space="preserve"> </w:t>
      </w:r>
      <w:r>
        <w:rPr>
          <w:rFonts w:ascii="Arial" w:eastAsia="Calibri" w:hAnsi="Arial" w:cs="Arial"/>
          <w:sz w:val="24"/>
          <w:szCs w:val="24"/>
          <w:lang w:val="es-AR"/>
        </w:rPr>
        <w:t>mostró</w:t>
      </w:r>
      <w:r w:rsidRPr="00201FE4">
        <w:rPr>
          <w:rFonts w:ascii="Arial" w:eastAsia="Calibri" w:hAnsi="Arial" w:cs="Arial"/>
          <w:sz w:val="24"/>
          <w:szCs w:val="24"/>
          <w:lang w:val="es-AR"/>
        </w:rPr>
        <w:t xml:space="preserve"> que las medias fueron semejantes entre dichos momentos. Cabe destacar que tales diferencias nombradas anteriormente, no fueron estadísticamente significativas (p &gt;0,05). Por otra parte, los pacientes que recibieron NET presentaron valores medios mayores de PCR a las 48 hs, al momento pre-quirúrgico y en promedio durante los 3 momentos de estudio, en relación con los que no recibieron tal alimentación de manera significativa (p ≤0,05). Además, observamos que a medida que aumenta</w:t>
      </w:r>
      <w:r>
        <w:rPr>
          <w:rFonts w:ascii="Arial" w:eastAsia="Calibri" w:hAnsi="Arial" w:cs="Arial"/>
          <w:sz w:val="24"/>
          <w:szCs w:val="24"/>
          <w:lang w:val="es-AR"/>
        </w:rPr>
        <w:t>ban</w:t>
      </w:r>
      <w:r w:rsidRPr="00201FE4">
        <w:rPr>
          <w:rFonts w:ascii="Arial" w:eastAsia="Calibri" w:hAnsi="Arial" w:cs="Arial"/>
          <w:sz w:val="24"/>
          <w:szCs w:val="24"/>
          <w:lang w:val="es-AR"/>
        </w:rPr>
        <w:t xml:space="preserve"> los valores de PCR, disminu</w:t>
      </w:r>
      <w:r>
        <w:rPr>
          <w:rFonts w:ascii="Arial" w:eastAsia="Calibri" w:hAnsi="Arial" w:cs="Arial"/>
          <w:sz w:val="24"/>
          <w:szCs w:val="24"/>
          <w:lang w:val="es-AR"/>
        </w:rPr>
        <w:t>ian</w:t>
      </w:r>
      <w:r w:rsidRPr="00201FE4">
        <w:rPr>
          <w:rFonts w:ascii="Arial" w:eastAsia="Calibri" w:hAnsi="Arial" w:cs="Arial"/>
          <w:sz w:val="24"/>
          <w:szCs w:val="24"/>
          <w:lang w:val="es-AR"/>
        </w:rPr>
        <w:t xml:space="preserve"> los de albuminemia. De este modo</w:t>
      </w:r>
      <w:r>
        <w:rPr>
          <w:rFonts w:ascii="Arial" w:eastAsia="Calibri" w:hAnsi="Arial" w:cs="Arial"/>
          <w:sz w:val="24"/>
          <w:szCs w:val="24"/>
          <w:lang w:val="es-AR"/>
        </w:rPr>
        <w:t>,</w:t>
      </w:r>
      <w:r w:rsidRPr="00201FE4">
        <w:rPr>
          <w:rFonts w:ascii="Arial" w:eastAsia="Calibri" w:hAnsi="Arial" w:cs="Arial"/>
          <w:sz w:val="24"/>
          <w:szCs w:val="24"/>
          <w:lang w:val="es-AR"/>
        </w:rPr>
        <w:t xml:space="preserve"> podemos inferir que la NET aumenta</w:t>
      </w:r>
      <w:r>
        <w:rPr>
          <w:rFonts w:ascii="Arial" w:eastAsia="Calibri" w:hAnsi="Arial" w:cs="Arial"/>
          <w:sz w:val="24"/>
          <w:szCs w:val="24"/>
          <w:lang w:val="es-AR"/>
        </w:rPr>
        <w:t>ría</w:t>
      </w:r>
      <w:r w:rsidRPr="00201FE4">
        <w:rPr>
          <w:rFonts w:ascii="Arial" w:eastAsia="Calibri" w:hAnsi="Arial" w:cs="Arial"/>
          <w:sz w:val="24"/>
          <w:szCs w:val="24"/>
          <w:lang w:val="es-AR"/>
        </w:rPr>
        <w:t xml:space="preserve"> la respuesta inflamatoria medida mediante PCR, y esta a su vez disminu</w:t>
      </w:r>
      <w:r>
        <w:rPr>
          <w:rFonts w:ascii="Arial" w:eastAsia="Calibri" w:hAnsi="Arial" w:cs="Arial"/>
          <w:sz w:val="24"/>
          <w:szCs w:val="24"/>
          <w:lang w:val="es-AR"/>
        </w:rPr>
        <w:t>iria</w:t>
      </w:r>
      <w:r w:rsidRPr="00201FE4">
        <w:rPr>
          <w:rFonts w:ascii="Arial" w:eastAsia="Calibri" w:hAnsi="Arial" w:cs="Arial"/>
          <w:sz w:val="24"/>
          <w:szCs w:val="24"/>
          <w:lang w:val="es-AR"/>
        </w:rPr>
        <w:t xml:space="preserve"> los niveles de albuminemia, siendo más marcada esta relación en el </w:t>
      </w:r>
      <w:r>
        <w:rPr>
          <w:rFonts w:ascii="Arial" w:eastAsia="Calibri" w:hAnsi="Arial" w:cs="Arial"/>
          <w:sz w:val="24"/>
          <w:szCs w:val="24"/>
          <w:lang w:val="es-AR"/>
        </w:rPr>
        <w:t>G1</w:t>
      </w:r>
      <w:r w:rsidRPr="00201FE4">
        <w:rPr>
          <w:rFonts w:ascii="Arial" w:eastAsia="Calibri" w:hAnsi="Arial" w:cs="Arial"/>
          <w:sz w:val="24"/>
          <w:szCs w:val="24"/>
          <w:lang w:val="es-AR"/>
        </w:rPr>
        <w:t>. Cabe aclarar la ausencia de correlación entre el aumento de la PCR y la respuesta clínica del paciente. Algunos autores</w:t>
      </w:r>
      <w:r>
        <w:rPr>
          <w:rFonts w:ascii="Arial" w:eastAsia="Calibri" w:hAnsi="Arial" w:cs="Arial"/>
          <w:sz w:val="24"/>
          <w:szCs w:val="24"/>
          <w:lang w:val="es-AR"/>
        </w:rPr>
        <w:t xml:space="preserve"> </w:t>
      </w:r>
      <w:r>
        <w:rPr>
          <w:rFonts w:ascii="Arial" w:eastAsia="Calibri" w:hAnsi="Arial" w:cs="Arial"/>
          <w:sz w:val="24"/>
          <w:szCs w:val="24"/>
          <w:vertAlign w:val="superscript"/>
          <w:lang w:val="es-AR"/>
        </w:rPr>
        <w:t>(</w:t>
      </w:r>
      <w:r w:rsidR="003C2ECD">
        <w:rPr>
          <w:rFonts w:ascii="Arial" w:eastAsia="Calibri" w:hAnsi="Arial" w:cs="Arial"/>
          <w:sz w:val="24"/>
          <w:szCs w:val="24"/>
          <w:vertAlign w:val="superscript"/>
          <w:lang w:val="es-AR"/>
        </w:rPr>
        <w:t>31</w:t>
      </w:r>
      <w:r>
        <w:rPr>
          <w:rFonts w:ascii="Arial" w:eastAsia="Calibri" w:hAnsi="Arial" w:cs="Arial"/>
          <w:sz w:val="24"/>
          <w:szCs w:val="24"/>
          <w:vertAlign w:val="superscript"/>
          <w:lang w:val="es-AR"/>
        </w:rPr>
        <w:t>, 3</w:t>
      </w:r>
      <w:r w:rsidR="003C2ECD">
        <w:rPr>
          <w:rFonts w:ascii="Arial" w:eastAsia="Calibri" w:hAnsi="Arial" w:cs="Arial"/>
          <w:sz w:val="24"/>
          <w:szCs w:val="24"/>
          <w:vertAlign w:val="superscript"/>
          <w:lang w:val="es-AR"/>
        </w:rPr>
        <w:t>3</w:t>
      </w:r>
      <w:r w:rsidRPr="00201FE4">
        <w:rPr>
          <w:rFonts w:ascii="Arial" w:eastAsia="Calibri" w:hAnsi="Arial" w:cs="Arial"/>
          <w:sz w:val="24"/>
          <w:szCs w:val="24"/>
          <w:vertAlign w:val="superscript"/>
          <w:lang w:val="es-AR"/>
        </w:rPr>
        <w:t>)</w:t>
      </w:r>
      <w:r w:rsidRPr="00201FE4">
        <w:rPr>
          <w:rFonts w:ascii="Arial" w:eastAsia="Calibri" w:hAnsi="Arial" w:cs="Arial"/>
          <w:sz w:val="24"/>
          <w:szCs w:val="24"/>
          <w:lang w:val="es-AR"/>
        </w:rPr>
        <w:t xml:space="preserve"> han establecido previamente que los niveles de albuminemia disminuyen ante el aumento de la respuesta inflamatoria. Los mecanismos que pueden explicar este fenómeno se fundamentan en la disminución de la síntesis hepática, el aumento del catabolismo y el incremento de la permeabilidad vascular. </w:t>
      </w:r>
    </w:p>
    <w:p w:rsidR="00073393" w:rsidRPr="001B76BB"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 xml:space="preserve">Debido a su vida media más corta, si bien la respuesta inflamatoria y las enfermedades hepáticas también pueden influir en sus niveles, la prealbumina es más sensible comparada con la albumina para detectar cambios agudos en el estado nutricional. </w:t>
      </w:r>
      <w:r>
        <w:rPr>
          <w:rFonts w:ascii="Arial" w:eastAsia="Calibri" w:hAnsi="Arial" w:cs="Arial"/>
          <w:sz w:val="24"/>
          <w:szCs w:val="24"/>
          <w:vertAlign w:val="superscript"/>
          <w:lang w:val="es-AR"/>
        </w:rPr>
        <w:t>(</w:t>
      </w:r>
      <w:r w:rsidR="005F3601">
        <w:rPr>
          <w:rFonts w:ascii="Arial" w:eastAsia="Calibri" w:hAnsi="Arial" w:cs="Arial"/>
          <w:sz w:val="24"/>
          <w:szCs w:val="24"/>
          <w:vertAlign w:val="superscript"/>
          <w:lang w:val="es-AR"/>
        </w:rPr>
        <w:t>34</w:t>
      </w:r>
      <w:r w:rsidRPr="00201FE4">
        <w:rPr>
          <w:rFonts w:ascii="Arial" w:eastAsia="Calibri" w:hAnsi="Arial" w:cs="Arial"/>
          <w:sz w:val="24"/>
          <w:szCs w:val="24"/>
          <w:vertAlign w:val="superscript"/>
          <w:lang w:val="es-AR"/>
        </w:rPr>
        <w:t>)</w:t>
      </w:r>
      <w:r w:rsidR="000A3181">
        <w:rPr>
          <w:rFonts w:ascii="Arial" w:eastAsia="Calibri" w:hAnsi="Arial" w:cs="Arial"/>
          <w:sz w:val="24"/>
          <w:szCs w:val="24"/>
          <w:lang w:val="es-AR"/>
        </w:rPr>
        <w:t xml:space="preserve"> Una de las limitaciones de nuestro trabajo fue no contar con los medios de laboratorio para medir </w:t>
      </w:r>
      <w:r w:rsidR="000377B0">
        <w:rPr>
          <w:rFonts w:ascii="Arial" w:eastAsia="Calibri" w:hAnsi="Arial" w:cs="Arial"/>
          <w:sz w:val="24"/>
          <w:szCs w:val="24"/>
          <w:lang w:val="es-AR"/>
        </w:rPr>
        <w:t>prealbumina</w:t>
      </w:r>
      <w:r w:rsidR="00E57D5A">
        <w:rPr>
          <w:rFonts w:ascii="Arial" w:eastAsia="Calibri" w:hAnsi="Arial" w:cs="Arial"/>
          <w:sz w:val="24"/>
          <w:szCs w:val="24"/>
          <w:lang w:val="es-AR"/>
        </w:rPr>
        <w:t xml:space="preserve">. </w:t>
      </w:r>
      <w:r w:rsidR="00764FC5">
        <w:rPr>
          <w:rFonts w:ascii="Arial" w:eastAsia="Calibri" w:hAnsi="Arial" w:cs="Arial"/>
          <w:sz w:val="24"/>
          <w:szCs w:val="24"/>
          <w:lang w:val="es-AR"/>
        </w:rPr>
        <w:t>Es importante destacar que en el contexto de una PA</w:t>
      </w:r>
      <w:r w:rsidR="00831F04">
        <w:rPr>
          <w:rFonts w:ascii="Arial" w:eastAsia="Calibri" w:hAnsi="Arial" w:cs="Arial"/>
          <w:sz w:val="24"/>
          <w:szCs w:val="24"/>
          <w:lang w:val="es-AR"/>
        </w:rPr>
        <w:t>, enfermedad donde se activa una respuesta inflamatoria sistémica</w:t>
      </w:r>
      <w:r w:rsidR="00D97890">
        <w:rPr>
          <w:rFonts w:ascii="Arial" w:eastAsia="Calibri" w:hAnsi="Arial" w:cs="Arial"/>
          <w:sz w:val="24"/>
          <w:szCs w:val="24"/>
          <w:lang w:val="es-AR"/>
        </w:rPr>
        <w:t>, tomar como parámetros el recuento de linfocitos o glóbulos blancos sería poco fidedigno, de la misma manera</w:t>
      </w:r>
      <w:r w:rsidR="005272A0">
        <w:rPr>
          <w:rFonts w:ascii="Arial" w:eastAsia="Calibri" w:hAnsi="Arial" w:cs="Arial"/>
          <w:sz w:val="24"/>
          <w:szCs w:val="24"/>
          <w:lang w:val="es-AR"/>
        </w:rPr>
        <w:t xml:space="preserve"> la variable peso del paciente podría verse alterada por </w:t>
      </w:r>
      <w:r w:rsidR="00740275">
        <w:rPr>
          <w:rFonts w:ascii="Arial" w:eastAsia="Calibri" w:hAnsi="Arial" w:cs="Arial"/>
          <w:sz w:val="24"/>
          <w:szCs w:val="24"/>
          <w:lang w:val="es-AR"/>
        </w:rPr>
        <w:t>abundante aporte líquidos vía parenteral que reciben estos pacientes.</w:t>
      </w:r>
    </w:p>
    <w:p w:rsidR="00073393" w:rsidRPr="00073393" w:rsidRDefault="00073393" w:rsidP="00073393">
      <w:pPr>
        <w:spacing w:line="360" w:lineRule="auto"/>
        <w:jc w:val="both"/>
        <w:rPr>
          <w:rFonts w:ascii="Arial" w:eastAsia="Calibri" w:hAnsi="Arial" w:cs="Arial"/>
          <w:sz w:val="24"/>
          <w:szCs w:val="24"/>
          <w:vertAlign w:val="superscript"/>
          <w:lang w:val="es-AR"/>
        </w:rPr>
      </w:pPr>
      <w:r w:rsidRPr="00073393">
        <w:rPr>
          <w:rFonts w:ascii="Arial" w:eastAsia="Calibri" w:hAnsi="Arial" w:cs="Arial"/>
          <w:sz w:val="24"/>
          <w:szCs w:val="24"/>
          <w:lang w:val="es-AR"/>
        </w:rPr>
        <w:t>Kaplan y cols. establecieron que la relación PCR/albumina en pacientes con PA puede ser utilizada como un indicador pronóstico, con una sensibilidad del 92.1% y una especificidad del 58%, por cada punto que aumenta dicha relación, el riesgo de mortalidad se incrementa 1.52 veces.</w:t>
      </w:r>
      <w:r>
        <w:rPr>
          <w:rFonts w:ascii="Arial" w:eastAsia="Calibri" w:hAnsi="Arial" w:cs="Arial"/>
          <w:sz w:val="24"/>
          <w:szCs w:val="24"/>
          <w:vertAlign w:val="superscript"/>
          <w:lang w:val="es-AR"/>
        </w:rPr>
        <w:t xml:space="preserve"> (3</w:t>
      </w:r>
      <w:r w:rsidR="005D4201">
        <w:rPr>
          <w:rFonts w:ascii="Arial" w:eastAsia="Calibri" w:hAnsi="Arial" w:cs="Arial"/>
          <w:sz w:val="24"/>
          <w:szCs w:val="24"/>
          <w:vertAlign w:val="superscript"/>
          <w:lang w:val="es-AR"/>
        </w:rPr>
        <w:t>5</w:t>
      </w:r>
      <w:r>
        <w:rPr>
          <w:rFonts w:ascii="Arial" w:eastAsia="Calibri" w:hAnsi="Arial" w:cs="Arial"/>
          <w:sz w:val="24"/>
          <w:szCs w:val="24"/>
          <w:vertAlign w:val="superscript"/>
          <w:lang w:val="es-AR"/>
        </w:rPr>
        <w:t>)</w:t>
      </w:r>
      <w:r w:rsidRPr="00073393">
        <w:rPr>
          <w:rFonts w:ascii="Arial" w:eastAsia="Calibri" w:hAnsi="Arial" w:cs="Arial"/>
          <w:sz w:val="24"/>
          <w:szCs w:val="24"/>
          <w:vertAlign w:val="superscript"/>
          <w:lang w:val="es-AR"/>
        </w:rPr>
        <w:t>.</w:t>
      </w:r>
    </w:p>
    <w:p w:rsidR="00073393" w:rsidRPr="00201FE4"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 xml:space="preserve">En relación con la morbimortalidad, en nuestro trabajo no se presentaron complicaciones relacionadas con la cirugía ni defunciones en ninguno de los 2 grupos. En un metaanálisis de Márta </w:t>
      </w:r>
      <w:r>
        <w:rPr>
          <w:rFonts w:ascii="Arial" w:eastAsia="Calibri" w:hAnsi="Arial" w:cs="Arial"/>
          <w:sz w:val="24"/>
          <w:szCs w:val="24"/>
          <w:lang w:val="es-AR"/>
        </w:rPr>
        <w:t>y cols</w:t>
      </w:r>
      <w:r w:rsidRPr="00201FE4">
        <w:rPr>
          <w:rFonts w:ascii="Arial" w:eastAsia="Calibri" w:hAnsi="Arial" w:cs="Arial"/>
          <w:sz w:val="24"/>
          <w:szCs w:val="24"/>
          <w:lang w:val="es-AR"/>
        </w:rPr>
        <w:t xml:space="preserve"> se analizaron estudios clínicos randomizados acerca de NET en PAL y moderadas, dicho estudio concluyó que si bien no existen diferencias en la morbimortalidad entre pacientes que reciben NET y los que reciben tratamiento estándar de NXB, algunos parámetros secundarios como la estadía hospitalaria serían ventajas en los grupos con NET. Por</w:t>
      </w:r>
      <w:r>
        <w:rPr>
          <w:rFonts w:ascii="Arial" w:eastAsia="Calibri" w:hAnsi="Arial" w:cs="Arial"/>
          <w:sz w:val="24"/>
          <w:szCs w:val="24"/>
          <w:lang w:val="es-AR"/>
        </w:rPr>
        <w:t xml:space="preserve"> </w:t>
      </w:r>
      <w:r w:rsidRPr="00201FE4">
        <w:rPr>
          <w:rFonts w:ascii="Arial" w:eastAsia="Calibri" w:hAnsi="Arial" w:cs="Arial"/>
          <w:sz w:val="24"/>
          <w:szCs w:val="24"/>
          <w:lang w:val="es-AR"/>
        </w:rPr>
        <w:t>los</w:t>
      </w:r>
      <w:r>
        <w:rPr>
          <w:rFonts w:ascii="Arial" w:eastAsia="Calibri" w:hAnsi="Arial" w:cs="Arial"/>
          <w:sz w:val="24"/>
          <w:szCs w:val="24"/>
          <w:lang w:val="es-AR"/>
        </w:rPr>
        <w:t xml:space="preserve"> </w:t>
      </w:r>
      <w:r w:rsidRPr="00201FE4">
        <w:rPr>
          <w:rFonts w:ascii="Arial" w:eastAsia="Calibri" w:hAnsi="Arial" w:cs="Arial"/>
          <w:sz w:val="24"/>
          <w:szCs w:val="24"/>
          <w:lang w:val="es-AR"/>
        </w:rPr>
        <w:t>resultados</w:t>
      </w:r>
      <w:r>
        <w:rPr>
          <w:rFonts w:ascii="Arial" w:eastAsia="Calibri" w:hAnsi="Arial" w:cs="Arial"/>
          <w:sz w:val="24"/>
          <w:szCs w:val="24"/>
          <w:lang w:val="es-AR"/>
        </w:rPr>
        <w:t xml:space="preserve"> </w:t>
      </w:r>
      <w:r w:rsidRPr="00201FE4">
        <w:rPr>
          <w:rFonts w:ascii="Arial" w:eastAsia="Calibri" w:hAnsi="Arial" w:cs="Arial"/>
          <w:sz w:val="24"/>
          <w:szCs w:val="24"/>
          <w:lang w:val="es-AR"/>
        </w:rPr>
        <w:t xml:space="preserve">obtenidos y la bibliografía consultada, podemos sostener que la NET es segura y puede formar parte del tratamiento de las PAL. </w:t>
      </w:r>
      <w:r>
        <w:rPr>
          <w:rFonts w:ascii="Arial" w:eastAsia="Calibri" w:hAnsi="Arial" w:cs="Arial"/>
          <w:sz w:val="24"/>
          <w:szCs w:val="24"/>
          <w:vertAlign w:val="superscript"/>
          <w:lang w:val="es-AR"/>
        </w:rPr>
        <w:t>(3</w:t>
      </w:r>
      <w:r w:rsidR="005D4201">
        <w:rPr>
          <w:rFonts w:ascii="Arial" w:eastAsia="Calibri" w:hAnsi="Arial" w:cs="Arial"/>
          <w:sz w:val="24"/>
          <w:szCs w:val="24"/>
          <w:vertAlign w:val="superscript"/>
          <w:lang w:val="es-AR"/>
        </w:rPr>
        <w:t>6</w:t>
      </w:r>
      <w:r w:rsidRPr="00201FE4">
        <w:rPr>
          <w:rFonts w:ascii="Arial" w:eastAsia="Calibri" w:hAnsi="Arial" w:cs="Arial"/>
          <w:sz w:val="24"/>
          <w:szCs w:val="24"/>
          <w:vertAlign w:val="superscript"/>
          <w:lang w:val="es-AR"/>
        </w:rPr>
        <w:t>)</w:t>
      </w:r>
      <w:r>
        <w:rPr>
          <w:rFonts w:ascii="Arial" w:eastAsia="Calibri" w:hAnsi="Arial" w:cs="Arial"/>
          <w:sz w:val="24"/>
          <w:szCs w:val="24"/>
          <w:lang w:val="es-AR"/>
        </w:rPr>
        <w:t xml:space="preserve"> </w:t>
      </w:r>
      <w:r w:rsidRPr="00201FE4">
        <w:rPr>
          <w:rFonts w:ascii="Arial" w:eastAsia="Calibri" w:hAnsi="Arial" w:cs="Arial"/>
          <w:sz w:val="24"/>
          <w:szCs w:val="24"/>
          <w:lang w:val="es-AR"/>
        </w:rPr>
        <w:t xml:space="preserve">También según </w:t>
      </w:r>
      <w:r>
        <w:rPr>
          <w:rFonts w:ascii="Arial" w:eastAsia="Calibri" w:hAnsi="Arial" w:cs="Arial"/>
          <w:sz w:val="24"/>
          <w:szCs w:val="24"/>
          <w:lang w:val="es-AR"/>
        </w:rPr>
        <w:t>el presente trabajo</w:t>
      </w:r>
      <w:r w:rsidRPr="00201FE4">
        <w:rPr>
          <w:rFonts w:ascii="Arial" w:eastAsia="Calibri" w:hAnsi="Arial" w:cs="Arial"/>
          <w:sz w:val="24"/>
          <w:szCs w:val="24"/>
          <w:lang w:val="es-AR"/>
        </w:rPr>
        <w:t xml:space="preserve"> debemos rechazar nuestra hipótesis, ya que la NET aumentó la respuesta inflamatoria medida por PCR y disminuyó los valores de albuminemia en el </w:t>
      </w:r>
      <w:r>
        <w:rPr>
          <w:rFonts w:ascii="Arial" w:eastAsia="Calibri" w:hAnsi="Arial" w:cs="Arial"/>
          <w:sz w:val="24"/>
          <w:szCs w:val="24"/>
          <w:lang w:val="es-AR"/>
        </w:rPr>
        <w:t>G1</w:t>
      </w:r>
      <w:r w:rsidRPr="00201FE4">
        <w:rPr>
          <w:rFonts w:ascii="Arial" w:eastAsia="Calibri" w:hAnsi="Arial" w:cs="Arial"/>
          <w:sz w:val="24"/>
          <w:szCs w:val="24"/>
          <w:lang w:val="es-AR"/>
        </w:rPr>
        <w:t xml:space="preserve">. De todas formas, dicha respuesta inflamatoria no tuvo implicancias clínicas, por lo que podemos concluir que la NET </w:t>
      </w:r>
      <w:r>
        <w:rPr>
          <w:rFonts w:ascii="Arial" w:eastAsia="Calibri" w:hAnsi="Arial" w:cs="Arial"/>
          <w:sz w:val="24"/>
          <w:szCs w:val="24"/>
          <w:lang w:val="es-AR"/>
        </w:rPr>
        <w:t>podría</w:t>
      </w:r>
      <w:r w:rsidRPr="00201FE4">
        <w:rPr>
          <w:rFonts w:ascii="Arial" w:eastAsia="Calibri" w:hAnsi="Arial" w:cs="Arial"/>
          <w:sz w:val="24"/>
          <w:szCs w:val="24"/>
          <w:lang w:val="es-AR"/>
        </w:rPr>
        <w:t xml:space="preserve"> ser implementada en pacientes con PAL. Nuestro </w:t>
      </w:r>
      <w:r>
        <w:rPr>
          <w:rFonts w:ascii="Arial" w:eastAsia="Calibri" w:hAnsi="Arial" w:cs="Arial"/>
          <w:sz w:val="24"/>
          <w:szCs w:val="24"/>
          <w:lang w:val="es-AR"/>
        </w:rPr>
        <w:t>estudio</w:t>
      </w:r>
      <w:r w:rsidRPr="00201FE4">
        <w:rPr>
          <w:rFonts w:ascii="Arial" w:eastAsia="Calibri" w:hAnsi="Arial" w:cs="Arial"/>
          <w:sz w:val="24"/>
          <w:szCs w:val="24"/>
          <w:lang w:val="es-AR"/>
        </w:rPr>
        <w:t xml:space="preserve"> aporta datos relacionados con los niveles de albuminemia y PCR que no habían sido publicados hasta la fecha.</w:t>
      </w:r>
    </w:p>
    <w:p w:rsidR="00073393" w:rsidRPr="00201FE4" w:rsidRDefault="00073393" w:rsidP="00073393">
      <w:pPr>
        <w:spacing w:line="360" w:lineRule="auto"/>
        <w:jc w:val="both"/>
        <w:rPr>
          <w:rFonts w:ascii="Arial" w:eastAsia="Calibri" w:hAnsi="Arial" w:cs="Arial"/>
          <w:sz w:val="24"/>
          <w:szCs w:val="24"/>
          <w:lang w:val="es-AR"/>
        </w:rPr>
      </w:pPr>
      <w:r w:rsidRPr="00201FE4">
        <w:rPr>
          <w:rFonts w:ascii="Arial" w:eastAsia="Calibri" w:hAnsi="Arial" w:cs="Arial"/>
          <w:sz w:val="24"/>
          <w:szCs w:val="24"/>
          <w:lang w:val="es-AR"/>
        </w:rPr>
        <w:t>Creemos importante continuar este trabajo para obtener un mayor número de pacientes que permitan resultados quizás con mayor valor estadístico y tratar de medir parámetros nutricionales más fidedignos como son la prealbumina e interleuquinas.</w:t>
      </w:r>
    </w:p>
    <w:p w:rsidR="00073393" w:rsidRPr="00201FE4" w:rsidRDefault="00073393" w:rsidP="00073393">
      <w:pPr>
        <w:keepNext/>
        <w:keepLines/>
        <w:spacing w:before="200" w:after="0"/>
        <w:outlineLvl w:val="1"/>
        <w:rPr>
          <w:rFonts w:ascii="Cambria" w:eastAsia="MS Gothic" w:hAnsi="Cambria" w:cs="Times New Roman"/>
          <w:b/>
          <w:bCs/>
          <w:color w:val="4F81BD"/>
          <w:sz w:val="26"/>
          <w:szCs w:val="26"/>
          <w:lang w:val="es-AR"/>
        </w:rPr>
      </w:pPr>
      <w:r w:rsidRPr="00201FE4">
        <w:rPr>
          <w:rFonts w:ascii="Cambria" w:eastAsia="MS Gothic" w:hAnsi="Cambria" w:cs="Times New Roman"/>
          <w:b/>
          <w:bCs/>
          <w:color w:val="4F81BD"/>
          <w:sz w:val="26"/>
          <w:szCs w:val="26"/>
          <w:lang w:val="es-AR"/>
        </w:rPr>
        <w:t>CONCLUSIONES</w:t>
      </w:r>
    </w:p>
    <w:p w:rsidR="00073393" w:rsidRPr="00201FE4" w:rsidRDefault="00073393" w:rsidP="00073393">
      <w:pPr>
        <w:numPr>
          <w:ilvl w:val="0"/>
          <w:numId w:val="4"/>
        </w:numPr>
        <w:spacing w:line="360" w:lineRule="auto"/>
        <w:contextualSpacing/>
        <w:jc w:val="both"/>
        <w:rPr>
          <w:rFonts w:ascii="Arial" w:eastAsia="Calibri" w:hAnsi="Arial" w:cs="Arial"/>
          <w:sz w:val="24"/>
          <w:szCs w:val="24"/>
          <w:lang w:val="es-AR"/>
        </w:rPr>
      </w:pPr>
      <w:r w:rsidRPr="00201FE4">
        <w:rPr>
          <w:rFonts w:ascii="Arial" w:eastAsia="Calibri" w:hAnsi="Arial" w:cs="Arial"/>
          <w:sz w:val="24"/>
          <w:szCs w:val="24"/>
          <w:lang w:val="es-AR"/>
        </w:rPr>
        <w:t xml:space="preserve">La NET </w:t>
      </w:r>
      <w:r>
        <w:rPr>
          <w:rFonts w:ascii="Arial" w:eastAsia="Calibri" w:hAnsi="Arial" w:cs="Arial"/>
          <w:sz w:val="24"/>
          <w:szCs w:val="24"/>
          <w:lang w:val="es-AR"/>
        </w:rPr>
        <w:t>podría</w:t>
      </w:r>
      <w:r w:rsidRPr="00201FE4">
        <w:rPr>
          <w:rFonts w:ascii="Arial" w:eastAsia="Calibri" w:hAnsi="Arial" w:cs="Arial"/>
          <w:sz w:val="24"/>
          <w:szCs w:val="24"/>
          <w:lang w:val="es-AR"/>
        </w:rPr>
        <w:t xml:space="preserve"> ser implementada de manera segura en pacientes con PAL</w:t>
      </w:r>
      <w:r>
        <w:rPr>
          <w:rFonts w:ascii="Arial" w:eastAsia="Calibri" w:hAnsi="Arial" w:cs="Arial"/>
          <w:sz w:val="24"/>
          <w:szCs w:val="24"/>
          <w:lang w:val="es-AR"/>
        </w:rPr>
        <w:t xml:space="preserve"> aunque creemos necesario un mayor </w:t>
      </w:r>
      <w:r w:rsidR="00EC4486">
        <w:rPr>
          <w:rFonts w:ascii="Arial" w:eastAsia="Calibri" w:hAnsi="Arial" w:cs="Arial"/>
          <w:sz w:val="24"/>
          <w:szCs w:val="24"/>
          <w:lang w:val="es-AR"/>
        </w:rPr>
        <w:t>número</w:t>
      </w:r>
      <w:r>
        <w:rPr>
          <w:rFonts w:ascii="Arial" w:eastAsia="Calibri" w:hAnsi="Arial" w:cs="Arial"/>
          <w:sz w:val="24"/>
          <w:szCs w:val="24"/>
          <w:lang w:val="es-AR"/>
        </w:rPr>
        <w:t xml:space="preserve"> de pacientes estudiados en forma prospectiva y comparativa para confirmar su </w:t>
      </w:r>
      <w:r w:rsidR="00EC4486">
        <w:rPr>
          <w:rFonts w:ascii="Arial" w:eastAsia="Calibri" w:hAnsi="Arial" w:cs="Arial"/>
          <w:sz w:val="24"/>
          <w:szCs w:val="24"/>
          <w:lang w:val="es-AR"/>
        </w:rPr>
        <w:t>indicación</w:t>
      </w:r>
      <w:r w:rsidRPr="00201FE4">
        <w:rPr>
          <w:rFonts w:ascii="Arial" w:eastAsia="Calibri" w:hAnsi="Arial" w:cs="Arial"/>
          <w:sz w:val="24"/>
          <w:szCs w:val="24"/>
          <w:lang w:val="es-AR"/>
        </w:rPr>
        <w:t xml:space="preserve">. </w:t>
      </w:r>
    </w:p>
    <w:p w:rsidR="00073393" w:rsidRPr="00201FE4" w:rsidRDefault="00073393" w:rsidP="00073393">
      <w:pPr>
        <w:numPr>
          <w:ilvl w:val="0"/>
          <w:numId w:val="4"/>
        </w:numPr>
        <w:spacing w:line="360" w:lineRule="auto"/>
        <w:contextualSpacing/>
        <w:jc w:val="both"/>
        <w:rPr>
          <w:rFonts w:ascii="Arial" w:eastAsia="Calibri" w:hAnsi="Arial" w:cs="Arial"/>
          <w:sz w:val="24"/>
          <w:szCs w:val="24"/>
          <w:lang w:val="es-AR"/>
        </w:rPr>
      </w:pPr>
      <w:r w:rsidRPr="00201FE4">
        <w:rPr>
          <w:rFonts w:ascii="Arial" w:eastAsia="Calibri" w:hAnsi="Arial" w:cs="Arial"/>
          <w:sz w:val="24"/>
          <w:szCs w:val="24"/>
          <w:lang w:val="es-AR"/>
        </w:rPr>
        <w:t>Los valores medios de PCR aumentaron de manera significativa en el grupo que recibió NET, por otro lado, la respuesta inflamatoria medida por APACHE II no presentó diferencias significativas en ningún grupo.</w:t>
      </w:r>
    </w:p>
    <w:p w:rsidR="00073393" w:rsidRPr="00201FE4" w:rsidRDefault="00073393" w:rsidP="00073393">
      <w:pPr>
        <w:numPr>
          <w:ilvl w:val="0"/>
          <w:numId w:val="4"/>
        </w:numPr>
        <w:spacing w:line="360" w:lineRule="auto"/>
        <w:contextualSpacing/>
        <w:jc w:val="both"/>
        <w:rPr>
          <w:rFonts w:ascii="Arial" w:eastAsia="Calibri" w:hAnsi="Arial" w:cs="Arial"/>
          <w:sz w:val="24"/>
          <w:szCs w:val="24"/>
          <w:lang w:val="es-AR"/>
        </w:rPr>
      </w:pPr>
      <w:bookmarkStart w:id="9" w:name="_Hlk490070301"/>
      <w:r w:rsidRPr="00201FE4">
        <w:rPr>
          <w:rFonts w:ascii="Arial" w:eastAsia="Calibri" w:hAnsi="Arial" w:cs="Arial"/>
          <w:sz w:val="24"/>
          <w:szCs w:val="24"/>
          <w:lang w:val="es-AR"/>
        </w:rPr>
        <w:t>Los niveles de albuminemia descendieron de manera significativa en ambos grupos, y dicho descenso fue más marcado en el grupo que recibió NET. Cabe destacar que el descenso de la albuminemia tuvo una correlación directa con los niveles de PCR, los cuales fueron mayores en el grupo experimental.</w:t>
      </w:r>
    </w:p>
    <w:bookmarkEnd w:id="9"/>
    <w:p w:rsidR="00073393" w:rsidRPr="00201FE4" w:rsidRDefault="00073393" w:rsidP="00073393">
      <w:pPr>
        <w:numPr>
          <w:ilvl w:val="0"/>
          <w:numId w:val="4"/>
        </w:numPr>
        <w:spacing w:line="360" w:lineRule="auto"/>
        <w:contextualSpacing/>
        <w:jc w:val="both"/>
        <w:rPr>
          <w:rFonts w:ascii="Arial" w:eastAsia="Calibri" w:hAnsi="Arial" w:cs="Arial"/>
          <w:sz w:val="24"/>
          <w:szCs w:val="24"/>
          <w:lang w:val="es-AR"/>
        </w:rPr>
      </w:pPr>
      <w:r w:rsidRPr="00201FE4">
        <w:rPr>
          <w:rFonts w:ascii="Arial" w:eastAsia="Calibri" w:hAnsi="Arial" w:cs="Arial"/>
          <w:sz w:val="24"/>
          <w:szCs w:val="24"/>
          <w:lang w:val="es-AR"/>
        </w:rPr>
        <w:t>No hubo relación entre el aumento de los niveles de PCR y la respuesta clínica de los pacientes, ya que la desaparición del dolor en ambos grupos no presentó diferencias significativas.</w:t>
      </w:r>
    </w:p>
    <w:p w:rsidR="00073393" w:rsidRDefault="00073393" w:rsidP="00073393">
      <w:pPr>
        <w:rPr>
          <w:rFonts w:ascii="Arial" w:hAnsi="Arial" w:cs="Arial"/>
          <w:sz w:val="24"/>
          <w:szCs w:val="24"/>
          <w:lang w:val="es-AR"/>
        </w:rPr>
      </w:pPr>
      <w:r>
        <w:rPr>
          <w:rFonts w:ascii="Arial" w:hAnsi="Arial" w:cs="Arial"/>
          <w:sz w:val="24"/>
          <w:szCs w:val="24"/>
          <w:lang w:val="es-AR"/>
        </w:rPr>
        <w:t>ANEXO GRÁFICOS:</w:t>
      </w:r>
    </w:p>
    <w:p w:rsidR="00073393" w:rsidRPr="00EC568E" w:rsidRDefault="00073393" w:rsidP="00073393">
      <w:pPr>
        <w:spacing w:line="360" w:lineRule="auto"/>
        <w:jc w:val="center"/>
        <w:rPr>
          <w:rFonts w:ascii="Arial" w:eastAsia="Calibri" w:hAnsi="Arial" w:cs="Arial"/>
          <w:sz w:val="24"/>
          <w:szCs w:val="24"/>
          <w:lang w:val="es-AR"/>
        </w:rPr>
      </w:pPr>
      <w:r w:rsidRPr="00EC568E">
        <w:rPr>
          <w:rFonts w:ascii="Arial" w:eastAsia="Calibri" w:hAnsi="Arial" w:cs="Arial"/>
          <w:noProof/>
          <w:sz w:val="24"/>
          <w:szCs w:val="24"/>
          <w:lang w:val="es-ES" w:eastAsia="es-ES"/>
        </w:rPr>
        <w:drawing>
          <wp:inline distT="0" distB="0" distL="0" distR="0" wp14:anchorId="66E7D99A" wp14:editId="6793D969">
            <wp:extent cx="5114925" cy="3743325"/>
            <wp:effectExtent l="0" t="0" r="0" b="952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073393" w:rsidRPr="00EC568E" w:rsidRDefault="00073393" w:rsidP="00073393">
      <w:pPr>
        <w:spacing w:after="200" w:line="360" w:lineRule="auto"/>
        <w:ind w:right="992"/>
        <w:jc w:val="center"/>
        <w:rPr>
          <w:rFonts w:ascii="Arial" w:eastAsia="Calibri" w:hAnsi="Arial" w:cs="Arial"/>
          <w:sz w:val="24"/>
          <w:szCs w:val="24"/>
          <w:lang w:val="es-AR"/>
        </w:rPr>
      </w:pPr>
      <w:r w:rsidRPr="00EC568E">
        <w:rPr>
          <w:rFonts w:ascii="Arial" w:eastAsia="Calibri" w:hAnsi="Arial" w:cs="Arial"/>
          <w:b/>
          <w:sz w:val="24"/>
          <w:szCs w:val="24"/>
          <w:lang w:val="es-AR"/>
        </w:rPr>
        <w:t>Figura 1</w:t>
      </w:r>
      <w:r w:rsidRPr="00EC568E">
        <w:rPr>
          <w:rFonts w:ascii="Arial" w:eastAsia="Calibri" w:hAnsi="Arial" w:cs="Arial"/>
          <w:sz w:val="24"/>
          <w:szCs w:val="24"/>
          <w:lang w:val="es-AR"/>
        </w:rPr>
        <w:t xml:space="preserve">. Evolución de los valores medios de PCR durante los momentos de estudio </w:t>
      </w:r>
      <w:r>
        <w:rPr>
          <w:rFonts w:ascii="Arial" w:eastAsia="Calibri" w:hAnsi="Arial" w:cs="Arial"/>
          <w:sz w:val="24"/>
          <w:szCs w:val="24"/>
          <w:lang w:val="es-AR"/>
        </w:rPr>
        <w:t>en ambos grupos</w:t>
      </w:r>
      <w:r w:rsidRPr="00EC568E">
        <w:rPr>
          <w:rFonts w:ascii="Arial" w:eastAsia="Calibri" w:hAnsi="Arial" w:cs="Arial"/>
          <w:sz w:val="24"/>
          <w:szCs w:val="24"/>
          <w:lang w:val="es-AR"/>
        </w:rPr>
        <w:t>.</w:t>
      </w:r>
    </w:p>
    <w:p w:rsidR="00073393" w:rsidRPr="00EC568E" w:rsidRDefault="00073393" w:rsidP="00073393">
      <w:pPr>
        <w:jc w:val="center"/>
        <w:rPr>
          <w:rFonts w:ascii="Calibri" w:eastAsia="Calibri" w:hAnsi="Calibri" w:cs="Times New Roman"/>
          <w:lang w:val="es-AR"/>
        </w:rPr>
      </w:pPr>
      <w:r w:rsidRPr="00EC568E">
        <w:rPr>
          <w:rFonts w:ascii="Calibri" w:eastAsia="Calibri" w:hAnsi="Calibri" w:cs="Times New Roman"/>
          <w:noProof/>
          <w:lang w:val="es-ES" w:eastAsia="es-ES"/>
        </w:rPr>
        <w:drawing>
          <wp:inline distT="0" distB="0" distL="0" distR="0" wp14:anchorId="2E0883A3" wp14:editId="17AECCAC">
            <wp:extent cx="5114925" cy="3743325"/>
            <wp:effectExtent l="0" t="0" r="0" b="952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073393" w:rsidRPr="00EC568E" w:rsidRDefault="00073393" w:rsidP="00073393">
      <w:pPr>
        <w:spacing w:after="200" w:line="360" w:lineRule="auto"/>
        <w:ind w:right="992"/>
        <w:jc w:val="center"/>
        <w:rPr>
          <w:rFonts w:ascii="Arial" w:eastAsia="Calibri" w:hAnsi="Arial" w:cs="Arial"/>
          <w:sz w:val="24"/>
          <w:szCs w:val="24"/>
          <w:lang w:val="es-AR"/>
        </w:rPr>
      </w:pPr>
      <w:r w:rsidRPr="00EC568E">
        <w:rPr>
          <w:rFonts w:ascii="Arial" w:eastAsia="Calibri" w:hAnsi="Arial" w:cs="Arial"/>
          <w:b/>
          <w:sz w:val="24"/>
          <w:szCs w:val="24"/>
          <w:lang w:val="es-AR"/>
        </w:rPr>
        <w:t>Figura 2.</w:t>
      </w:r>
      <w:r w:rsidRPr="00EC568E">
        <w:rPr>
          <w:rFonts w:ascii="Arial" w:eastAsia="Calibri" w:hAnsi="Arial" w:cs="Arial"/>
          <w:sz w:val="24"/>
          <w:szCs w:val="24"/>
          <w:lang w:val="es-AR"/>
        </w:rPr>
        <w:t xml:space="preserve"> Evolución de los valores medios de </w:t>
      </w:r>
      <w:r>
        <w:rPr>
          <w:rFonts w:ascii="Arial" w:eastAsia="Calibri" w:hAnsi="Arial" w:cs="Arial"/>
          <w:sz w:val="24"/>
          <w:szCs w:val="24"/>
          <w:lang w:val="es-AR"/>
        </w:rPr>
        <w:t>a</w:t>
      </w:r>
      <w:r w:rsidRPr="00EC568E">
        <w:rPr>
          <w:rFonts w:ascii="Arial" w:eastAsia="Calibri" w:hAnsi="Arial" w:cs="Arial"/>
          <w:sz w:val="24"/>
          <w:szCs w:val="24"/>
          <w:lang w:val="es-AR"/>
        </w:rPr>
        <w:t>lbumina durante los momentos de estudio en ambos grupos.</w:t>
      </w:r>
    </w:p>
    <w:p w:rsidR="00073393" w:rsidRDefault="00073393" w:rsidP="00073393">
      <w:pPr>
        <w:rPr>
          <w:rFonts w:ascii="Arial" w:hAnsi="Arial" w:cs="Arial"/>
          <w:sz w:val="24"/>
          <w:szCs w:val="24"/>
          <w:lang w:val="es-AR"/>
        </w:rPr>
      </w:pP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ANEXO: DIETA:</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Inicia al ingreso del paciente con líquidos claros e infusiones calientes bajas en grasas y colecistoquinéticos (Agua, té, malta, caldos de verduras colados).</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A partir del día 1:</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8</w:t>
      </w:r>
      <w:r>
        <w:rPr>
          <w:rFonts w:ascii="Arial" w:eastAsia="Calibri" w:hAnsi="Arial" w:cs="Arial"/>
          <w:sz w:val="24"/>
          <w:szCs w:val="24"/>
          <w:lang w:val="es-AR"/>
        </w:rPr>
        <w:t xml:space="preserve"> </w:t>
      </w:r>
      <w:r w:rsidRPr="00201FE4">
        <w:rPr>
          <w:rFonts w:ascii="Arial" w:eastAsia="Calibri" w:hAnsi="Arial" w:cs="Arial"/>
          <w:sz w:val="24"/>
          <w:szCs w:val="24"/>
          <w:lang w:val="es-AR"/>
        </w:rPr>
        <w:t xml:space="preserve">hs Desayuno: </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Consumir una infusión preparada en media taza de té o mate o malta, cortada con leche descremada reducida en lactosa  endulzar con edulcorante. Acompañar con 3 rebanadas de pan blanco tostado ó 6 galletas bajas en grasas con 2 cucharadas de queso blanco descremado untable y una cucharada de mermelada sin azúcar.</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17hs Merienda:</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Una infusión a gusto (té, mate en saquito, malta) acompañado con 3 galletas de arroz tipo crakers con una cucharada de mermelada de durazno dietética o jalea de membrillo dietético y una feta de queso descremado cortado a maquina</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Colación: 10hs, media mañana y 19:30</w:t>
      </w:r>
      <w:r>
        <w:rPr>
          <w:rFonts w:ascii="Arial" w:eastAsia="Calibri" w:hAnsi="Arial" w:cs="Arial"/>
          <w:sz w:val="24"/>
          <w:szCs w:val="24"/>
          <w:lang w:val="es-AR"/>
        </w:rPr>
        <w:t xml:space="preserve"> </w:t>
      </w:r>
      <w:r w:rsidRPr="00201FE4">
        <w:rPr>
          <w:rFonts w:ascii="Arial" w:eastAsia="Calibri" w:hAnsi="Arial" w:cs="Arial"/>
          <w:sz w:val="24"/>
          <w:szCs w:val="24"/>
          <w:lang w:val="es-AR"/>
        </w:rPr>
        <w:t>hs, media tarde:</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1 yogur saborizado bebible descremado.</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un licuado de 1 fruta a elección en compota con agua más una rebanada de pan tostado con queso descremado.</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 xml:space="preserve"> 1 fruta a elección asada o al horno (pera, manzana) o frutas deshidratadas (3 unidades) hechas en compota, orejones, pelones, peras y beber su jugo.</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12:00hs Almuerzo y 21hs Cena:1 plato abundante de verduras cocidas, en diferentes preparaciones, sacando piel y semillas; utilizando los siguientes alimentos:</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4 claras (en cada comida) ya sea en preparaciones como: revuelto, omelet, budín, tortilla o suflé de verduras.</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 xml:space="preserve"> Queso descremado como complemento ó para gratinar.</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 xml:space="preserve">Pastas o cereales:1 porción de </w:t>
      </w:r>
      <w:r w:rsidR="00EC4486" w:rsidRPr="00201FE4">
        <w:rPr>
          <w:rFonts w:ascii="Arial" w:eastAsia="Calibri" w:hAnsi="Arial" w:cs="Arial"/>
          <w:sz w:val="24"/>
          <w:szCs w:val="24"/>
          <w:lang w:val="es-AR"/>
        </w:rPr>
        <w:t>arroz o</w:t>
      </w:r>
      <w:r w:rsidRPr="00201FE4">
        <w:rPr>
          <w:rFonts w:ascii="Arial" w:eastAsia="Calibri" w:hAnsi="Arial" w:cs="Arial"/>
          <w:sz w:val="24"/>
          <w:szCs w:val="24"/>
          <w:lang w:val="es-AR"/>
        </w:rPr>
        <w:t xml:space="preserve"> fideos o tallarines o pastas rellenas con verdura o verdura y ricota. Puede acompañar los cereales o las pastas con salsas livianas de tomate sin piel y sin semillas, aceite de canola u oliva y queso blanco.</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El postre consumirlo una hora después del almuerzo y de la cena: Dentro de las opciones elegir: 1 fruta al horno o en compota ó gelatina ó fruta al natural sin almíbar ó suflé de asada ‘o flan con leche descremada reducida en lactosa o arroz con leche descremada reducida en lactosa.</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Recomendaciones:</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Realizar las 4 comidas principales y dos colaciones diarias. No dejar pasar más de 2 horas y media entre una comida y otra.</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Comer despacio. Masticar bien los alimentos.</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Tomar 3 litros de agua diarios.</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Es importante el consumo de verduras y frutas, cocidas, sacando piel y semillas, de diferentes colores a diario, para incorporar fibra, minerales y vitaminas. Para evitar que se pierdan nutrientes, es importante evitar cocinar con sal las mismas.</w:t>
      </w:r>
    </w:p>
    <w:p w:rsidR="00073393" w:rsidRPr="00201FE4"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Consumir las cantidades de lácteos indicadas, siempre descremados, para cubrir los requerimientos de calcio y es mejor tolerada si es reducida en lactosa.</w:t>
      </w:r>
    </w:p>
    <w:p w:rsidR="00073393" w:rsidRDefault="00073393" w:rsidP="00073393">
      <w:pPr>
        <w:spacing w:line="360" w:lineRule="auto"/>
        <w:ind w:left="360"/>
        <w:jc w:val="both"/>
        <w:rPr>
          <w:rFonts w:ascii="Arial" w:eastAsia="Calibri" w:hAnsi="Arial" w:cs="Arial"/>
          <w:sz w:val="24"/>
          <w:szCs w:val="24"/>
          <w:lang w:val="es-AR"/>
        </w:rPr>
      </w:pPr>
      <w:r w:rsidRPr="00201FE4">
        <w:rPr>
          <w:rFonts w:ascii="Arial" w:eastAsia="Calibri" w:hAnsi="Arial" w:cs="Arial"/>
          <w:sz w:val="24"/>
          <w:szCs w:val="24"/>
          <w:lang w:val="es-AR"/>
        </w:rPr>
        <w:t></w:t>
      </w:r>
      <w:r w:rsidRPr="00201FE4">
        <w:rPr>
          <w:rFonts w:ascii="Arial" w:eastAsia="Calibri" w:hAnsi="Arial" w:cs="Arial"/>
          <w:sz w:val="24"/>
          <w:szCs w:val="24"/>
          <w:lang w:val="es-AR"/>
        </w:rPr>
        <w:tab/>
        <w:t>Reducir el consumo de sal y de todos los productos que la contengan. No se aconseja el consumo de productos de copetín, ningún tipo de embutido, caldo de verduras en cubos, conservas en lata como pescados, aceitunas, anchoas</w:t>
      </w:r>
    </w:p>
    <w:p w:rsidR="00EC4486" w:rsidRDefault="00EC4486" w:rsidP="00073393">
      <w:pPr>
        <w:spacing w:line="360" w:lineRule="auto"/>
        <w:ind w:left="360"/>
        <w:jc w:val="both"/>
        <w:rPr>
          <w:rFonts w:ascii="Arial" w:eastAsia="Calibri" w:hAnsi="Arial" w:cs="Arial"/>
          <w:sz w:val="24"/>
          <w:szCs w:val="24"/>
          <w:lang w:val="es-AR"/>
        </w:rPr>
      </w:pPr>
      <w:r>
        <w:rPr>
          <w:rFonts w:ascii="Arial" w:eastAsia="Calibri" w:hAnsi="Arial" w:cs="Arial"/>
          <w:sz w:val="24"/>
          <w:szCs w:val="24"/>
          <w:lang w:val="es-AR"/>
        </w:rPr>
        <w:t>ANEXO CONSENTIMIENTO INFORMADO:</w:t>
      </w:r>
    </w:p>
    <w:p w:rsidR="00EC4486" w:rsidRDefault="00EC4486" w:rsidP="00EC4486">
      <w:pPr>
        <w:jc w:val="center"/>
        <w:rPr>
          <w:rFonts w:ascii="Arial Unicode MS" w:hAnsi="Arial Unicode MS"/>
          <w:b/>
          <w:sz w:val="24"/>
          <w:szCs w:val="24"/>
          <w:u w:val="single"/>
          <w:lang w:val="es-ES_tradnl"/>
        </w:rPr>
      </w:pPr>
      <w:r>
        <w:rPr>
          <w:rFonts w:ascii="Arial Unicode MS" w:hAnsi="Arial Unicode MS"/>
          <w:b/>
          <w:sz w:val="24"/>
          <w:szCs w:val="24"/>
          <w:u w:val="single"/>
          <w:lang w:val="es-ES_tradnl"/>
        </w:rPr>
        <w:t>Hospital Nacional de Clínicas</w:t>
      </w:r>
    </w:p>
    <w:p w:rsidR="00EC4486" w:rsidRDefault="00EC4486" w:rsidP="00EC4486">
      <w:pPr>
        <w:jc w:val="center"/>
        <w:rPr>
          <w:rFonts w:ascii="Arial Unicode MS" w:hAnsi="Arial Unicode MS"/>
          <w:b/>
          <w:sz w:val="24"/>
          <w:szCs w:val="24"/>
          <w:u w:val="single"/>
          <w:lang w:val="es-ES_tradnl"/>
        </w:rPr>
      </w:pPr>
      <w:r>
        <w:rPr>
          <w:rFonts w:ascii="Arial Unicode MS" w:hAnsi="Arial Unicode MS"/>
          <w:b/>
          <w:sz w:val="24"/>
          <w:szCs w:val="24"/>
          <w:u w:val="single"/>
          <w:lang w:val="es-ES_tradnl"/>
        </w:rPr>
        <w:t>Servicio de Cirugía General Nº I</w:t>
      </w:r>
    </w:p>
    <w:p w:rsidR="00EC4486" w:rsidRDefault="00EC4486" w:rsidP="00EC4486">
      <w:pPr>
        <w:jc w:val="center"/>
        <w:rPr>
          <w:rFonts w:ascii="Arial Unicode MS" w:hAnsi="Arial Unicode MS"/>
          <w:b/>
          <w:sz w:val="24"/>
          <w:szCs w:val="24"/>
          <w:u w:val="single"/>
          <w:lang w:val="es-ES_tradnl"/>
        </w:rPr>
      </w:pPr>
      <w:r>
        <w:rPr>
          <w:rFonts w:ascii="Arial Unicode MS" w:hAnsi="Arial Unicode MS"/>
          <w:b/>
          <w:sz w:val="24"/>
          <w:szCs w:val="24"/>
          <w:u w:val="single"/>
          <w:lang w:val="es-ES_tradnl"/>
        </w:rPr>
        <w:t>Facultad de Ciencias Médicas, Universidad Nacional de Córdoba</w:t>
      </w:r>
    </w:p>
    <w:p w:rsidR="00EC4486" w:rsidRDefault="00EC4486" w:rsidP="00EC4486">
      <w:pPr>
        <w:jc w:val="center"/>
        <w:rPr>
          <w:rFonts w:ascii="Arial Unicode MS" w:hAnsi="Arial Unicode MS"/>
          <w:b/>
          <w:sz w:val="28"/>
          <w:szCs w:val="28"/>
          <w:u w:val="single"/>
          <w:lang w:val="es-ES_tradnl"/>
        </w:rPr>
      </w:pPr>
      <w:r>
        <w:rPr>
          <w:rFonts w:ascii="Arial Unicode MS" w:hAnsi="Arial Unicode MS"/>
          <w:b/>
          <w:sz w:val="28"/>
          <w:szCs w:val="28"/>
          <w:u w:val="single"/>
          <w:lang w:val="es-ES_tradnl"/>
        </w:rPr>
        <w:t>Consentimiento Informado y Documentado para pacientes o su representante legal</w:t>
      </w:r>
    </w:p>
    <w:p w:rsidR="00EC4486" w:rsidRDefault="00EC4486" w:rsidP="00EC4486">
      <w:pPr>
        <w:rPr>
          <w:lang w:val="es-ES_tradnl"/>
        </w:rPr>
      </w:pPr>
    </w:p>
    <w:p w:rsidR="00EC4486" w:rsidRDefault="00EC4486" w:rsidP="00EC4486">
      <w:pPr>
        <w:spacing w:line="240" w:lineRule="auto"/>
        <w:rPr>
          <w:rFonts w:ascii="Arial" w:hAnsi="Arial" w:cs="Arial"/>
          <w:lang w:val="es-ES_tradnl"/>
        </w:rPr>
      </w:pPr>
      <w:r>
        <w:rPr>
          <w:rFonts w:ascii="Arial" w:hAnsi="Arial" w:cs="Arial"/>
          <w:lang w:val="es-ES_tradnl"/>
        </w:rPr>
        <w:t>Entre el/la  Sr/Sra. ………………………………………………………………………                                                                            DNI Nº ………………….., con domicilio real en………………………………………</w:t>
      </w:r>
    </w:p>
    <w:p w:rsidR="00EC4486" w:rsidRDefault="00EC4486" w:rsidP="00EC4486">
      <w:pPr>
        <w:spacing w:line="240" w:lineRule="auto"/>
        <w:rPr>
          <w:rFonts w:ascii="Arial" w:hAnsi="Arial" w:cs="Arial"/>
          <w:lang w:val="es-ES_tradnl"/>
        </w:rPr>
      </w:pPr>
      <w:r>
        <w:rPr>
          <w:rFonts w:ascii="Arial" w:hAnsi="Arial" w:cs="Arial"/>
          <w:lang w:val="es-ES_tradnl"/>
        </w:rPr>
        <w:t xml:space="preserve">y constituyendo el legal en  ……………………………………………….., Historia Clínica Nº…………………., representada en este acto por …………………………….                            </w:t>
      </w:r>
    </w:p>
    <w:p w:rsidR="00EC4486" w:rsidRDefault="00EC4486" w:rsidP="00EC4486">
      <w:pPr>
        <w:spacing w:line="240" w:lineRule="auto"/>
        <w:rPr>
          <w:rFonts w:ascii="Arial" w:hAnsi="Arial" w:cs="Arial"/>
          <w:lang w:val="es-ES_tradnl"/>
        </w:rPr>
      </w:pPr>
      <w:r>
        <w:rPr>
          <w:rFonts w:ascii="Arial" w:hAnsi="Arial" w:cs="Arial"/>
          <w:lang w:val="es-ES_tradnl"/>
        </w:rPr>
        <w:t>…………………., DNI Nº   ……………….., en adelante “EL PACIENTE”, por una parte y por la otra el Dr. ………………………………………………………………...,</w:t>
      </w:r>
    </w:p>
    <w:p w:rsidR="00EC4486" w:rsidRDefault="00EC4486" w:rsidP="00EC4486">
      <w:pPr>
        <w:spacing w:line="240" w:lineRule="auto"/>
        <w:rPr>
          <w:rFonts w:ascii="Arial" w:hAnsi="Arial" w:cs="Arial"/>
          <w:lang w:val="es-ES_tradnl"/>
        </w:rPr>
      </w:pPr>
      <w:r>
        <w:rPr>
          <w:rFonts w:ascii="Arial" w:hAnsi="Arial" w:cs="Arial"/>
          <w:lang w:val="es-ES_tradnl"/>
        </w:rPr>
        <w:t>Matrícula ………………….; DNI Nº ……………………, con domicilio real en ……..</w:t>
      </w:r>
    </w:p>
    <w:p w:rsidR="00EC4486" w:rsidRDefault="00EC4486" w:rsidP="00EC4486">
      <w:pPr>
        <w:spacing w:line="240" w:lineRule="auto"/>
        <w:rPr>
          <w:rFonts w:ascii="Arial" w:hAnsi="Arial" w:cs="Arial"/>
          <w:lang w:val="es-ES_tradnl"/>
        </w:rPr>
      </w:pPr>
      <w:r>
        <w:rPr>
          <w:rFonts w:ascii="Arial" w:hAnsi="Arial" w:cs="Arial"/>
          <w:lang w:val="es-ES_tradnl"/>
        </w:rPr>
        <w:t>…………………………………., constituyendo el laboral en Santa Rosa 1564, Córdoba, Argentina; quien forma parte del Servicio de Cirugía N° I del Hospital Nacional de Clínicas.</w:t>
      </w:r>
    </w:p>
    <w:p w:rsidR="00EC4486" w:rsidRDefault="00EC4486" w:rsidP="00EC4486">
      <w:pPr>
        <w:spacing w:line="240" w:lineRule="auto"/>
        <w:rPr>
          <w:rFonts w:ascii="Arial" w:hAnsi="Arial" w:cs="Arial"/>
          <w:lang w:val="es-ES_tradnl"/>
        </w:rPr>
      </w:pPr>
      <w:r>
        <w:rPr>
          <w:rFonts w:ascii="Arial" w:hAnsi="Arial" w:cs="Arial"/>
          <w:lang w:val="es-ES_tradnl"/>
        </w:rPr>
        <w:t>Adelante “EL PROFESIONAL o EQUIPO MEDICO”, se conviene la celebración del presente acuerdo de consentimiento informado de acuerdo a lo dispuesto por la Ley Nº 26.529,  Ley 26.657, Ley 26.742 y su decreto reglamentario Nº 1089/2012, sujeto a las siguientes cláusulas:</w:t>
      </w:r>
    </w:p>
    <w:p w:rsidR="00EC4486" w:rsidRDefault="00EC4486" w:rsidP="00EC4486">
      <w:pPr>
        <w:spacing w:line="240" w:lineRule="auto"/>
        <w:rPr>
          <w:rFonts w:ascii="Arial" w:hAnsi="Arial" w:cs="Arial"/>
          <w:lang w:val="es-ES_tradnl"/>
        </w:rPr>
      </w:pPr>
      <w:r>
        <w:rPr>
          <w:rFonts w:ascii="Arial" w:hAnsi="Arial" w:cs="Arial"/>
          <w:lang w:val="es-ES_tradnl"/>
        </w:rPr>
        <w:t xml:space="preserve">PRIMERA: El Profesional, luego de la evaluación  de El Paciente le informa que éste padece al momento del ingreso criterios diagnosticos de Pancreatitis Aguda Leve. Que la misma puede acompañarse de criterios diagnósticos de otras patologías del aparato biliodigestivo tales como: Colecistitis aguda, síndrome coledociano, colangitis, coledocolitiasis, entre otras, así como también de otras patologías agudas o crónicas citadas en la historia clínica (según lo referido por el paciente y lo evidenciado en los estudios realizados). </w:t>
      </w:r>
    </w:p>
    <w:p w:rsidR="00EC4486" w:rsidRDefault="00EC4486" w:rsidP="00EC4486">
      <w:pPr>
        <w:spacing w:line="240" w:lineRule="auto"/>
        <w:rPr>
          <w:rFonts w:ascii="Arial" w:hAnsi="Arial" w:cs="Arial"/>
          <w:lang w:val="es-ES_tradnl"/>
        </w:rPr>
      </w:pPr>
      <w:r>
        <w:rPr>
          <w:rFonts w:ascii="Arial" w:hAnsi="Arial" w:cs="Arial"/>
          <w:lang w:val="es-ES_tradnl"/>
        </w:rPr>
        <w:t>SEGUNDA: El Profesional propone para el tratamiento de la patología detallada en la cláusula primera, realizar el siguiente procedimiento (demostrado por la bibliografía científica): …………………………………………………………………………………………………………………………………………………………………………………………………………………………………………………………………………………………………………………………………………………………………………………………………………………………………………………………………………………</w:t>
      </w:r>
    </w:p>
    <w:p w:rsidR="00EC4486" w:rsidRDefault="00EC4486" w:rsidP="00EC4486">
      <w:pPr>
        <w:spacing w:line="240" w:lineRule="auto"/>
        <w:rPr>
          <w:rFonts w:ascii="Arial" w:hAnsi="Arial" w:cs="Arial"/>
          <w:lang w:val="es-ES_tradnl"/>
        </w:rPr>
      </w:pPr>
    </w:p>
    <w:p w:rsidR="00EC4486" w:rsidRDefault="00EC4486" w:rsidP="00EC4486">
      <w:pPr>
        <w:spacing w:line="240" w:lineRule="auto"/>
        <w:rPr>
          <w:rFonts w:ascii="Arial" w:hAnsi="Arial" w:cs="Arial"/>
          <w:lang w:val="es-ES_tradnl"/>
        </w:rPr>
      </w:pPr>
      <w:r>
        <w:rPr>
          <w:rFonts w:ascii="Arial" w:hAnsi="Arial" w:cs="Arial"/>
          <w:lang w:val="es-ES_tradnl"/>
        </w:rPr>
        <w:t>TERCERA: El Paciente DECLARA QUE ACEPTA voluntariamente y que OTORGA EL CONSENTIMIENTO para que se realicen en éste las prácticas propuestas. El Paciente autoriza a obtener videos, registros gráficos, fotografías y otros medios destinados a difundir resultados o iconografías en ámbitos universitarios, científicos o revistas especializadas PRESERVANDO SU IDENTIDAD.</w:t>
      </w:r>
    </w:p>
    <w:p w:rsidR="00EC4486" w:rsidRDefault="00EC4486" w:rsidP="00EC4486">
      <w:pPr>
        <w:spacing w:line="240" w:lineRule="auto"/>
        <w:rPr>
          <w:rFonts w:ascii="Arial" w:hAnsi="Arial" w:cs="Arial"/>
          <w:lang w:val="es-ES_tradnl"/>
        </w:rPr>
      </w:pPr>
      <w:r>
        <w:rPr>
          <w:rFonts w:ascii="Arial" w:hAnsi="Arial" w:cs="Arial"/>
          <w:lang w:val="es-ES_tradnl"/>
        </w:rPr>
        <w:t>CUARTA: El Paciente reconoce que ha sido acompañado por El Profesional en la explicación y redacción del presente consentimiento informado, que comprende perfectamente su contenido, que está satisfecho por la información recibida, que han sido evacuadas sus dudas y que ha podido tomar una decisión respecto de los procedimientos que realizarán en su zona de reserva.</w:t>
      </w:r>
    </w:p>
    <w:p w:rsidR="00EC4486" w:rsidRDefault="00EC4486" w:rsidP="00EC4486">
      <w:pPr>
        <w:spacing w:line="240" w:lineRule="auto"/>
        <w:rPr>
          <w:rFonts w:ascii="Arial" w:hAnsi="Arial" w:cs="Arial"/>
          <w:lang w:val="es-ES_tradnl"/>
        </w:rPr>
      </w:pPr>
      <w:r>
        <w:rPr>
          <w:rFonts w:ascii="Arial" w:hAnsi="Arial" w:cs="Arial"/>
          <w:lang w:val="es-ES_tradnl"/>
        </w:rPr>
        <w:t>QUINTA: El Profesional se constituye en depositario del presente consentimiento informado que incorpora a la historia clínica Nº ……………….que se encuentra guardada bajo responsabilidad de las autoridades del Hospital Nacional de Clínicas.</w:t>
      </w:r>
    </w:p>
    <w:p w:rsidR="00EC4486" w:rsidRDefault="00EC4486" w:rsidP="00EC4486">
      <w:pPr>
        <w:spacing w:line="240" w:lineRule="auto"/>
        <w:rPr>
          <w:rFonts w:ascii="Arial" w:hAnsi="Arial" w:cs="Arial"/>
          <w:lang w:val="es-ES_tradnl"/>
        </w:rPr>
      </w:pPr>
      <w:r>
        <w:rPr>
          <w:rFonts w:ascii="Arial" w:hAnsi="Arial" w:cs="Arial"/>
          <w:lang w:val="es-ES_tradnl"/>
        </w:rPr>
        <w:t xml:space="preserve">SEXTA: El Profesional por este acto entrega el segundo ejemplar del mismo y a un solo efecto a El Paciente y/ o su representante </w:t>
      </w:r>
    </w:p>
    <w:p w:rsidR="00EC4486" w:rsidRDefault="00EC4486" w:rsidP="00EC4486">
      <w:pPr>
        <w:spacing w:line="240" w:lineRule="auto"/>
        <w:rPr>
          <w:rFonts w:ascii="Arial" w:hAnsi="Arial" w:cs="Arial"/>
          <w:lang w:val="es-ES_tradnl"/>
        </w:rPr>
      </w:pPr>
      <w:r>
        <w:rPr>
          <w:rFonts w:ascii="Arial" w:hAnsi="Arial" w:cs="Arial"/>
          <w:lang w:val="es-ES_tradnl"/>
        </w:rPr>
        <w:t xml:space="preserve">SEPTIMA: El Profesional y el Paciente  o su representante declaran que en caso de suscitarse controversias en la interpretación o ejecución de este acuerdo se sometan en forma previa a formas de conciliación y mediación.         </w:t>
      </w:r>
    </w:p>
    <w:p w:rsidR="00EC4486" w:rsidRDefault="00EC4486" w:rsidP="00EC4486">
      <w:pPr>
        <w:rPr>
          <w:lang w:val="es-ES_tradnl"/>
        </w:rPr>
      </w:pPr>
    </w:p>
    <w:p w:rsidR="00EC4486" w:rsidRDefault="00EC4486" w:rsidP="00EC4486">
      <w:pPr>
        <w:rPr>
          <w:lang w:val="es-ES_tradnl"/>
        </w:rPr>
      </w:pPr>
    </w:p>
    <w:p w:rsidR="00EC4486" w:rsidRDefault="00EC4486" w:rsidP="00EC4486">
      <w:pPr>
        <w:rPr>
          <w:lang w:val="es-ES_tradnl"/>
        </w:rPr>
      </w:pPr>
    </w:p>
    <w:p w:rsidR="00EC4486" w:rsidRDefault="00EC4486" w:rsidP="00EC4486">
      <w:pPr>
        <w:rPr>
          <w:lang w:val="es-ES_tradnl"/>
        </w:rPr>
      </w:pPr>
    </w:p>
    <w:p w:rsidR="00EC4486" w:rsidRDefault="00EC4486" w:rsidP="00EC4486">
      <w:pPr>
        <w:rPr>
          <w:lang w:val="es-ES_tradnl"/>
        </w:rPr>
      </w:pPr>
    </w:p>
    <w:p w:rsidR="00EC4486" w:rsidRDefault="00EC4486" w:rsidP="00EC4486">
      <w:pPr>
        <w:rPr>
          <w:lang w:val="es-ES_tradnl"/>
        </w:rPr>
      </w:pPr>
      <w:r>
        <w:rPr>
          <w:lang w:val="es-ES_tradnl"/>
        </w:rPr>
        <w:t>…………………………………………………                                                               ……………………………………………….</w:t>
      </w:r>
    </w:p>
    <w:p w:rsidR="00EC4486" w:rsidRDefault="00EC4486" w:rsidP="00EC4486">
      <w:pPr>
        <w:rPr>
          <w:lang w:val="es-ES_tradnl"/>
        </w:rPr>
      </w:pPr>
      <w:r>
        <w:rPr>
          <w:lang w:val="es-ES_tradnl"/>
        </w:rPr>
        <w:t xml:space="preserve">           Firma del paciente                                                                              Firma del representante legal</w:t>
      </w:r>
    </w:p>
    <w:p w:rsidR="00EC4486" w:rsidRDefault="00EC4486" w:rsidP="00EC4486">
      <w:pPr>
        <w:rPr>
          <w:lang w:val="es-ES_tradnl"/>
        </w:rPr>
      </w:pPr>
    </w:p>
    <w:p w:rsidR="00EC4486" w:rsidRDefault="00EC4486" w:rsidP="00EC4486">
      <w:pPr>
        <w:rPr>
          <w:lang w:val="es-ES_tradnl"/>
        </w:rPr>
      </w:pPr>
    </w:p>
    <w:p w:rsidR="00EC4486" w:rsidRDefault="00EC4486" w:rsidP="00EC4486">
      <w:pPr>
        <w:rPr>
          <w:lang w:val="es-ES_tradnl"/>
        </w:rPr>
      </w:pPr>
    </w:p>
    <w:p w:rsidR="00EC4486" w:rsidRDefault="00EC4486" w:rsidP="00EC4486">
      <w:pPr>
        <w:rPr>
          <w:lang w:val="es-ES_tradnl"/>
        </w:rPr>
      </w:pPr>
      <w:r>
        <w:rPr>
          <w:lang w:val="es-ES_tradnl"/>
        </w:rPr>
        <w:t>………………………………………………</w:t>
      </w:r>
    </w:p>
    <w:p w:rsidR="00EC4486" w:rsidRDefault="00EC4486" w:rsidP="00EC4486">
      <w:pPr>
        <w:rPr>
          <w:lang w:val="es-ES_tradnl"/>
        </w:rPr>
      </w:pPr>
      <w:r>
        <w:rPr>
          <w:lang w:val="es-ES_tradnl"/>
        </w:rPr>
        <w:t xml:space="preserve">Firma del médico que representa al servicio de cirugía N°I </w:t>
      </w:r>
    </w:p>
    <w:p w:rsidR="00EC4486" w:rsidRPr="00EC4486" w:rsidRDefault="00EC4486" w:rsidP="00EC4486">
      <w:pPr>
        <w:rPr>
          <w:lang w:val="es-ES_tradnl"/>
        </w:rPr>
      </w:pPr>
      <w:r>
        <w:rPr>
          <w:lang w:val="es-ES_tradnl"/>
        </w:rPr>
        <w:t>HNC – FCM – UNC.</w:t>
      </w:r>
    </w:p>
    <w:p w:rsidR="00073393" w:rsidRPr="00254A0C" w:rsidRDefault="00073393" w:rsidP="00073393">
      <w:pPr>
        <w:rPr>
          <w:rFonts w:ascii="Arial" w:hAnsi="Arial" w:cs="Arial"/>
          <w:sz w:val="24"/>
          <w:szCs w:val="24"/>
          <w:lang w:val="es-AR"/>
        </w:rPr>
      </w:pPr>
      <w:r w:rsidRPr="00254A0C">
        <w:rPr>
          <w:rFonts w:ascii="Arial" w:hAnsi="Arial" w:cs="Arial"/>
          <w:sz w:val="24"/>
          <w:szCs w:val="24"/>
          <w:lang w:val="es-AR"/>
        </w:rPr>
        <w:t>BIBLIOGRAFIA</w:t>
      </w:r>
    </w:p>
    <w:p w:rsidR="00073393" w:rsidRPr="00254A0C" w:rsidRDefault="00073393" w:rsidP="00073393">
      <w:pPr>
        <w:pStyle w:val="Prrafodelista"/>
        <w:numPr>
          <w:ilvl w:val="0"/>
          <w:numId w:val="5"/>
        </w:numPr>
        <w:rPr>
          <w:rFonts w:ascii="Arial" w:hAnsi="Arial" w:cs="Arial"/>
          <w:sz w:val="24"/>
          <w:szCs w:val="24"/>
          <w:lang w:val="es-AR"/>
        </w:rPr>
      </w:pPr>
      <w:r w:rsidRPr="00254A0C">
        <w:rPr>
          <w:rFonts w:ascii="Arial" w:hAnsi="Arial" w:cs="Arial"/>
          <w:sz w:val="24"/>
          <w:szCs w:val="24"/>
          <w:lang w:val="es-AR"/>
        </w:rPr>
        <w:t xml:space="preserve">Munhoz-Filho CH, Batigália F, Funes HLX. </w:t>
      </w:r>
      <w:r w:rsidRPr="00254A0C">
        <w:rPr>
          <w:rFonts w:ascii="Arial" w:hAnsi="Arial" w:cs="Arial"/>
          <w:sz w:val="24"/>
          <w:szCs w:val="24"/>
          <w:lang w:val="en-US"/>
        </w:rPr>
        <w:t xml:space="preserve">Clinical and therapeutic correlations in patients with slight acute pancreatitis.  </w:t>
      </w:r>
      <w:r w:rsidRPr="00254A0C">
        <w:rPr>
          <w:rFonts w:ascii="Arial" w:hAnsi="Arial" w:cs="Arial"/>
          <w:sz w:val="24"/>
          <w:szCs w:val="24"/>
          <w:lang w:val="es-AR"/>
        </w:rPr>
        <w:t>Arq Bras Cir Dig 2015; 28(1): 24-27.</w:t>
      </w:r>
    </w:p>
    <w:p w:rsidR="00073393" w:rsidRDefault="00073393" w:rsidP="00073393">
      <w:pPr>
        <w:pStyle w:val="Prrafodelista"/>
        <w:numPr>
          <w:ilvl w:val="0"/>
          <w:numId w:val="5"/>
        </w:numPr>
        <w:rPr>
          <w:rFonts w:ascii="Arial" w:hAnsi="Arial" w:cs="Arial"/>
          <w:sz w:val="24"/>
          <w:szCs w:val="24"/>
          <w:lang w:val="es-AR"/>
        </w:rPr>
      </w:pPr>
      <w:r w:rsidRPr="00254A0C">
        <w:rPr>
          <w:rFonts w:ascii="Arial" w:hAnsi="Arial" w:cs="Arial"/>
          <w:sz w:val="24"/>
          <w:szCs w:val="24"/>
          <w:lang w:val="en-US"/>
        </w:rPr>
        <w:t xml:space="preserve">Opie EL. The etiology of acute hemorrhagic pancreatitis. </w:t>
      </w:r>
      <w:r w:rsidRPr="00254A0C">
        <w:rPr>
          <w:rFonts w:ascii="Arial" w:hAnsi="Arial" w:cs="Arial"/>
          <w:sz w:val="24"/>
          <w:szCs w:val="24"/>
          <w:lang w:val="es-AR"/>
        </w:rPr>
        <w:t>Bull Johns Hopkins Hosp 1901; 12: 182-188</w:t>
      </w:r>
    </w:p>
    <w:p w:rsidR="00073393" w:rsidRPr="00E600F4" w:rsidRDefault="00073393" w:rsidP="00073393">
      <w:pPr>
        <w:pStyle w:val="Prrafodelista"/>
        <w:numPr>
          <w:ilvl w:val="0"/>
          <w:numId w:val="5"/>
        </w:numPr>
        <w:rPr>
          <w:rFonts w:ascii="Arial" w:hAnsi="Arial" w:cs="Arial"/>
          <w:sz w:val="24"/>
          <w:szCs w:val="24"/>
          <w:lang w:val="en-US"/>
        </w:rPr>
      </w:pPr>
      <w:r w:rsidRPr="00254A0C">
        <w:rPr>
          <w:rFonts w:ascii="Arial" w:hAnsi="Arial" w:cs="Arial"/>
          <w:sz w:val="24"/>
          <w:szCs w:val="24"/>
          <w:lang w:val="es-AR"/>
        </w:rPr>
        <w:t xml:space="preserve">Acosta JL y Ledesma CL. </w:t>
      </w:r>
      <w:r w:rsidRPr="00254A0C">
        <w:rPr>
          <w:rFonts w:ascii="Arial" w:hAnsi="Arial" w:cs="Arial"/>
          <w:sz w:val="24"/>
          <w:szCs w:val="24"/>
          <w:lang w:val="en-US"/>
        </w:rPr>
        <w:t xml:space="preserve">Gallstone migration as a cause for acute pancreatitis. </w:t>
      </w:r>
      <w:r w:rsidRPr="00E600F4">
        <w:rPr>
          <w:rFonts w:ascii="Arial" w:hAnsi="Arial" w:cs="Arial"/>
          <w:sz w:val="24"/>
          <w:szCs w:val="24"/>
          <w:lang w:val="en-US"/>
        </w:rPr>
        <w:t>N Engl J Med 1974; 290: 484-487.</w:t>
      </w:r>
    </w:p>
    <w:p w:rsidR="00073393" w:rsidRPr="00695064" w:rsidRDefault="00073393" w:rsidP="00073393">
      <w:pPr>
        <w:pStyle w:val="Prrafodelista"/>
        <w:numPr>
          <w:ilvl w:val="0"/>
          <w:numId w:val="5"/>
        </w:numPr>
        <w:rPr>
          <w:rFonts w:ascii="Arial" w:hAnsi="Arial" w:cs="Arial"/>
          <w:sz w:val="24"/>
          <w:szCs w:val="24"/>
          <w:lang w:val="es-AR"/>
        </w:rPr>
      </w:pPr>
      <w:r w:rsidRPr="00695064">
        <w:rPr>
          <w:rFonts w:ascii="Arial" w:hAnsi="Arial" w:cs="Arial"/>
          <w:sz w:val="24"/>
          <w:szCs w:val="24"/>
          <w:lang w:val="es-AR"/>
        </w:rPr>
        <w:t xml:space="preserve">Alejandro Oria. Pancreatitis Aguda. Cirugía de Michans, El Ateneo, Buenos Aires. </w:t>
      </w:r>
      <w:r w:rsidRPr="00695064">
        <w:rPr>
          <w:rFonts w:ascii="Arial" w:hAnsi="Arial" w:cs="Arial"/>
          <w:sz w:val="24"/>
          <w:szCs w:val="24"/>
          <w:lang w:val="en-US"/>
        </w:rPr>
        <w:t>2010. 651-653.</w:t>
      </w:r>
    </w:p>
    <w:p w:rsidR="00073393" w:rsidRPr="00695064" w:rsidRDefault="00073393" w:rsidP="00073393">
      <w:pPr>
        <w:pStyle w:val="Prrafodelista"/>
        <w:numPr>
          <w:ilvl w:val="0"/>
          <w:numId w:val="5"/>
        </w:numPr>
        <w:rPr>
          <w:rFonts w:ascii="Arial" w:hAnsi="Arial" w:cs="Arial"/>
          <w:sz w:val="24"/>
          <w:szCs w:val="24"/>
          <w:lang w:val="es-AR"/>
        </w:rPr>
      </w:pPr>
      <w:r w:rsidRPr="00695064">
        <w:rPr>
          <w:rFonts w:ascii="Arial" w:hAnsi="Arial" w:cs="Arial"/>
          <w:sz w:val="24"/>
          <w:szCs w:val="24"/>
          <w:lang w:val="en-US"/>
        </w:rPr>
        <w:t>Tenner S, Baillie J, DeWitt J y Swaroop Vege S. American College of Gastroenterology Guideline: Management of Acute Pancreatitis. Am J Gastroenterol 2013; 108: 1400-1415.</w:t>
      </w:r>
    </w:p>
    <w:p w:rsidR="00073393" w:rsidRPr="00695064" w:rsidRDefault="00073393" w:rsidP="00073393">
      <w:pPr>
        <w:pStyle w:val="Prrafodelista"/>
        <w:numPr>
          <w:ilvl w:val="0"/>
          <w:numId w:val="5"/>
        </w:numPr>
        <w:rPr>
          <w:rFonts w:ascii="Arial" w:hAnsi="Arial" w:cs="Arial"/>
          <w:sz w:val="24"/>
          <w:szCs w:val="24"/>
          <w:lang w:val="es-AR"/>
        </w:rPr>
      </w:pPr>
      <w:r w:rsidRPr="00695064">
        <w:rPr>
          <w:rFonts w:ascii="Arial" w:hAnsi="Arial" w:cs="Arial"/>
          <w:sz w:val="24"/>
          <w:szCs w:val="24"/>
          <w:lang w:val="en-US"/>
        </w:rPr>
        <w:t>Tandon M, Topazian M. Endoscopic ultrasound in idiopathic acute pancreatitis. Am  J  Gastroenterol 2001; 96: 705-</w:t>
      </w:r>
      <w:r>
        <w:rPr>
          <w:rFonts w:ascii="Arial" w:hAnsi="Arial" w:cs="Arial"/>
          <w:sz w:val="24"/>
          <w:szCs w:val="24"/>
          <w:lang w:val="en-US"/>
        </w:rPr>
        <w:t>70</w:t>
      </w:r>
      <w:r w:rsidRPr="00695064">
        <w:rPr>
          <w:rFonts w:ascii="Arial" w:hAnsi="Arial" w:cs="Arial"/>
          <w:sz w:val="24"/>
          <w:szCs w:val="24"/>
          <w:lang w:val="en-US"/>
        </w:rPr>
        <w:t>9.</w:t>
      </w:r>
    </w:p>
    <w:p w:rsidR="00073393" w:rsidRDefault="00073393" w:rsidP="00073393">
      <w:pPr>
        <w:pStyle w:val="Prrafodelista"/>
        <w:numPr>
          <w:ilvl w:val="0"/>
          <w:numId w:val="5"/>
        </w:numPr>
        <w:rPr>
          <w:rFonts w:ascii="Arial" w:hAnsi="Arial" w:cs="Arial"/>
          <w:sz w:val="24"/>
          <w:szCs w:val="24"/>
          <w:lang w:val="es-AR"/>
        </w:rPr>
      </w:pPr>
      <w:r w:rsidRPr="00695064">
        <w:rPr>
          <w:rFonts w:ascii="Arial" w:hAnsi="Arial" w:cs="Arial"/>
          <w:sz w:val="24"/>
          <w:szCs w:val="24"/>
          <w:lang w:val="en-US"/>
        </w:rPr>
        <w:t xml:space="preserve">Al-Haddad M, Wallace MB. Diagnostic approach to patients with acute idiopathic pancreatitis, what should be done? </w:t>
      </w:r>
      <w:r w:rsidRPr="00695064">
        <w:rPr>
          <w:rFonts w:ascii="Arial" w:hAnsi="Arial" w:cs="Arial"/>
          <w:sz w:val="24"/>
          <w:szCs w:val="24"/>
          <w:lang w:val="es-AR"/>
        </w:rPr>
        <w:t>World J Gastroenterol 2008; 14: 1007-</w:t>
      </w:r>
      <w:r>
        <w:rPr>
          <w:rFonts w:ascii="Arial" w:hAnsi="Arial" w:cs="Arial"/>
          <w:sz w:val="24"/>
          <w:szCs w:val="24"/>
          <w:lang w:val="es-AR"/>
        </w:rPr>
        <w:t>10</w:t>
      </w:r>
      <w:r w:rsidRPr="00695064">
        <w:rPr>
          <w:rFonts w:ascii="Arial" w:hAnsi="Arial" w:cs="Arial"/>
          <w:sz w:val="24"/>
          <w:szCs w:val="24"/>
          <w:lang w:val="es-AR"/>
        </w:rPr>
        <w:t>10.</w:t>
      </w:r>
    </w:p>
    <w:p w:rsidR="00C712B3" w:rsidRDefault="00B54F39" w:rsidP="00073393">
      <w:pPr>
        <w:pStyle w:val="Prrafodelista"/>
        <w:numPr>
          <w:ilvl w:val="0"/>
          <w:numId w:val="5"/>
        </w:numPr>
        <w:rPr>
          <w:rFonts w:ascii="Arial" w:hAnsi="Arial" w:cs="Arial"/>
          <w:sz w:val="24"/>
          <w:szCs w:val="24"/>
          <w:lang w:val="es-AR"/>
        </w:rPr>
      </w:pPr>
      <w:r>
        <w:rPr>
          <w:rFonts w:ascii="Arial" w:hAnsi="Arial" w:cs="Arial"/>
          <w:sz w:val="24"/>
          <w:szCs w:val="24"/>
          <w:lang w:val="es-AR"/>
        </w:rPr>
        <w:t xml:space="preserve">Kim S, </w:t>
      </w:r>
      <w:r w:rsidR="0054307B">
        <w:rPr>
          <w:rFonts w:ascii="Arial" w:hAnsi="Arial" w:cs="Arial"/>
          <w:sz w:val="24"/>
          <w:szCs w:val="24"/>
          <w:lang w:val="es-AR"/>
        </w:rPr>
        <w:t>McClave SA, Martindale</w:t>
      </w:r>
      <w:r w:rsidR="00B00F12">
        <w:rPr>
          <w:rFonts w:ascii="Arial" w:hAnsi="Arial" w:cs="Arial"/>
          <w:sz w:val="24"/>
          <w:szCs w:val="24"/>
          <w:lang w:val="es-AR"/>
        </w:rPr>
        <w:t xml:space="preserve"> RG </w:t>
      </w:r>
      <w:r w:rsidR="00BE325A">
        <w:rPr>
          <w:rFonts w:ascii="Arial" w:hAnsi="Arial" w:cs="Arial"/>
          <w:sz w:val="24"/>
          <w:szCs w:val="24"/>
          <w:lang w:val="es-AR"/>
        </w:rPr>
        <w:t>et al. Hypoalbuminemia and clinical outcomes</w:t>
      </w:r>
      <w:r w:rsidR="00BC1620">
        <w:rPr>
          <w:rFonts w:ascii="Arial" w:hAnsi="Arial" w:cs="Arial"/>
          <w:sz w:val="24"/>
          <w:szCs w:val="24"/>
          <w:lang w:val="es-AR"/>
        </w:rPr>
        <w:t>: what is the mechanism behind the relationship</w:t>
      </w:r>
      <w:r w:rsidR="00E84730">
        <w:rPr>
          <w:rFonts w:ascii="Arial" w:hAnsi="Arial" w:cs="Arial"/>
          <w:sz w:val="24"/>
          <w:szCs w:val="24"/>
          <w:lang w:val="es-AR"/>
        </w:rPr>
        <w:t>?. Am Surg 2017</w:t>
      </w:r>
      <w:r w:rsidR="004B6B64">
        <w:rPr>
          <w:rFonts w:ascii="Arial" w:hAnsi="Arial" w:cs="Arial"/>
          <w:sz w:val="24"/>
          <w:szCs w:val="24"/>
          <w:lang w:val="es-AR"/>
        </w:rPr>
        <w:t>; 83(11): 1220</w:t>
      </w:r>
      <w:r w:rsidR="00CE30DE">
        <w:rPr>
          <w:rFonts w:ascii="Arial" w:hAnsi="Arial" w:cs="Arial"/>
          <w:sz w:val="24"/>
          <w:szCs w:val="24"/>
          <w:lang w:val="es-AR"/>
        </w:rPr>
        <w:t>-1227.</w:t>
      </w:r>
    </w:p>
    <w:p w:rsidR="00CE30DE" w:rsidRDefault="00B238D3" w:rsidP="00073393">
      <w:pPr>
        <w:pStyle w:val="Prrafodelista"/>
        <w:numPr>
          <w:ilvl w:val="0"/>
          <w:numId w:val="5"/>
        </w:numPr>
        <w:rPr>
          <w:rFonts w:ascii="Arial" w:hAnsi="Arial" w:cs="Arial"/>
          <w:sz w:val="24"/>
          <w:szCs w:val="24"/>
          <w:lang w:val="es-AR"/>
        </w:rPr>
      </w:pPr>
      <w:r>
        <w:rPr>
          <w:rFonts w:ascii="Arial" w:hAnsi="Arial" w:cs="Arial"/>
          <w:sz w:val="24"/>
          <w:szCs w:val="24"/>
          <w:lang w:val="es-AR"/>
        </w:rPr>
        <w:t>Rau B, Schilling MK, Beger</w:t>
      </w:r>
      <w:r w:rsidR="00C74DD9">
        <w:rPr>
          <w:rFonts w:ascii="Arial" w:hAnsi="Arial" w:cs="Arial"/>
          <w:sz w:val="24"/>
          <w:szCs w:val="24"/>
          <w:lang w:val="es-AR"/>
        </w:rPr>
        <w:t xml:space="preserve"> HG. Laboratory makers of severe acute pancreatitis</w:t>
      </w:r>
      <w:r w:rsidR="00FB09A5">
        <w:rPr>
          <w:rFonts w:ascii="Arial" w:hAnsi="Arial" w:cs="Arial"/>
          <w:sz w:val="24"/>
          <w:szCs w:val="24"/>
          <w:lang w:val="es-AR"/>
        </w:rPr>
        <w:t>. Dig Dis 2004; 22:247-</w:t>
      </w:r>
      <w:r w:rsidR="002C4474">
        <w:rPr>
          <w:rFonts w:ascii="Arial" w:hAnsi="Arial" w:cs="Arial"/>
          <w:sz w:val="24"/>
          <w:szCs w:val="24"/>
          <w:lang w:val="es-AR"/>
        </w:rPr>
        <w:t>257.</w:t>
      </w:r>
      <w:bookmarkStart w:id="10" w:name="_GoBack"/>
      <w:bookmarkEnd w:id="10"/>
    </w:p>
    <w:p w:rsidR="00073393" w:rsidRPr="003C6A59" w:rsidRDefault="00073393" w:rsidP="00073393">
      <w:pPr>
        <w:pStyle w:val="Prrafodelista"/>
        <w:numPr>
          <w:ilvl w:val="0"/>
          <w:numId w:val="5"/>
        </w:numPr>
        <w:rPr>
          <w:rFonts w:ascii="Arial" w:hAnsi="Arial" w:cs="Arial"/>
          <w:sz w:val="24"/>
          <w:szCs w:val="24"/>
          <w:lang w:val="es-AR"/>
        </w:rPr>
      </w:pPr>
      <w:r w:rsidRPr="003C6A59">
        <w:rPr>
          <w:rFonts w:ascii="Arial" w:hAnsi="Arial" w:cs="Arial"/>
          <w:sz w:val="24"/>
          <w:szCs w:val="24"/>
          <w:lang w:val="en-US"/>
        </w:rPr>
        <w:t xml:space="preserve">Ranson JH. Acute pancreatitis: pathogenesis, outcome and treatment. </w:t>
      </w:r>
      <w:r w:rsidRPr="003C6A59">
        <w:rPr>
          <w:rFonts w:ascii="Arial" w:hAnsi="Arial" w:cs="Arial"/>
          <w:sz w:val="24"/>
          <w:szCs w:val="24"/>
          <w:lang w:val="es-AR"/>
        </w:rPr>
        <w:t>Clin Gastroenterol 1984; 13(3): 843-</w:t>
      </w:r>
      <w:r>
        <w:rPr>
          <w:rFonts w:ascii="Arial" w:hAnsi="Arial" w:cs="Arial"/>
          <w:sz w:val="24"/>
          <w:szCs w:val="24"/>
          <w:lang w:val="es-AR"/>
        </w:rPr>
        <w:t>8</w:t>
      </w:r>
      <w:r w:rsidRPr="003C6A59">
        <w:rPr>
          <w:rFonts w:ascii="Arial" w:hAnsi="Arial" w:cs="Arial"/>
          <w:sz w:val="24"/>
          <w:szCs w:val="24"/>
          <w:lang w:val="es-AR"/>
        </w:rPr>
        <w:t>63.</w:t>
      </w:r>
    </w:p>
    <w:p w:rsidR="00073393" w:rsidRPr="00E600F4" w:rsidRDefault="00073393" w:rsidP="00073393">
      <w:pPr>
        <w:pStyle w:val="Prrafodelista"/>
        <w:numPr>
          <w:ilvl w:val="0"/>
          <w:numId w:val="5"/>
        </w:numPr>
        <w:rPr>
          <w:rFonts w:ascii="Arial" w:hAnsi="Arial" w:cs="Arial"/>
          <w:sz w:val="24"/>
          <w:szCs w:val="24"/>
          <w:lang w:val="en-US"/>
        </w:rPr>
      </w:pPr>
      <w:r w:rsidRPr="00695064">
        <w:rPr>
          <w:rFonts w:ascii="Arial" w:hAnsi="Arial" w:cs="Arial"/>
          <w:sz w:val="24"/>
          <w:szCs w:val="24"/>
          <w:lang w:val="es-AR"/>
        </w:rPr>
        <w:t xml:space="preserve">Ferreira AF, Bartelega JA, Urbano HCA et al. </w:t>
      </w:r>
      <w:r w:rsidRPr="00695064">
        <w:rPr>
          <w:rFonts w:ascii="Arial" w:hAnsi="Arial" w:cs="Arial"/>
          <w:sz w:val="24"/>
          <w:szCs w:val="24"/>
          <w:lang w:val="en-US"/>
        </w:rPr>
        <w:t xml:space="preserve">Acute Pancreatitis Gravity Predictive Factors: which and when use them? </w:t>
      </w:r>
      <w:r w:rsidRPr="00E600F4">
        <w:rPr>
          <w:rFonts w:ascii="Arial" w:hAnsi="Arial" w:cs="Arial"/>
          <w:sz w:val="24"/>
          <w:szCs w:val="24"/>
          <w:lang w:val="en-US"/>
        </w:rPr>
        <w:t>Arq Bras Cir Dig 2015; 28(3): 207-211.</w:t>
      </w:r>
    </w:p>
    <w:p w:rsidR="00073393" w:rsidRPr="00E600F4" w:rsidRDefault="00073393" w:rsidP="00073393">
      <w:pPr>
        <w:pStyle w:val="Prrafodelista"/>
        <w:numPr>
          <w:ilvl w:val="0"/>
          <w:numId w:val="5"/>
        </w:numPr>
        <w:rPr>
          <w:rFonts w:ascii="Arial" w:hAnsi="Arial" w:cs="Arial"/>
          <w:sz w:val="24"/>
          <w:szCs w:val="24"/>
          <w:lang w:val="en-US"/>
        </w:rPr>
      </w:pPr>
      <w:r w:rsidRPr="003C6A59">
        <w:rPr>
          <w:rFonts w:ascii="Arial" w:hAnsi="Arial" w:cs="Arial"/>
          <w:sz w:val="24"/>
          <w:szCs w:val="24"/>
          <w:lang w:val="en-US"/>
        </w:rPr>
        <w:t xml:space="preserve">Greenberg JA, Hsu J, Bawazeer M et al. Clinical practice guideline: management of acute pancreatitis. </w:t>
      </w:r>
      <w:r w:rsidRPr="00E600F4">
        <w:rPr>
          <w:rFonts w:ascii="Arial" w:hAnsi="Arial" w:cs="Arial"/>
          <w:sz w:val="24"/>
          <w:szCs w:val="24"/>
          <w:lang w:val="en-US"/>
        </w:rPr>
        <w:t>Can J Surg 2016; 59(2): 128-140.</w:t>
      </w:r>
    </w:p>
    <w:p w:rsidR="00073393" w:rsidRPr="00EC4486" w:rsidRDefault="00073393" w:rsidP="00073393">
      <w:pPr>
        <w:pStyle w:val="Prrafodelista"/>
        <w:numPr>
          <w:ilvl w:val="0"/>
          <w:numId w:val="5"/>
        </w:numPr>
        <w:rPr>
          <w:rFonts w:ascii="Arial" w:hAnsi="Arial" w:cs="Arial"/>
          <w:sz w:val="24"/>
          <w:szCs w:val="24"/>
          <w:lang w:val="en-US"/>
        </w:rPr>
      </w:pPr>
      <w:r w:rsidRPr="00EC4486">
        <w:rPr>
          <w:rFonts w:ascii="Arial" w:hAnsi="Arial" w:cs="Arial"/>
          <w:sz w:val="24"/>
          <w:szCs w:val="24"/>
          <w:lang w:val="en-US"/>
        </w:rPr>
        <w:t xml:space="preserve">http://www.mindray.com/es/products/29.html </w:t>
      </w:r>
    </w:p>
    <w:p w:rsidR="00073393" w:rsidRPr="00C5752D" w:rsidRDefault="00073393" w:rsidP="00073393">
      <w:pPr>
        <w:pStyle w:val="Prrafodelista"/>
        <w:ind w:left="1080"/>
        <w:rPr>
          <w:rFonts w:ascii="Arial" w:hAnsi="Arial" w:cs="Arial"/>
          <w:sz w:val="24"/>
          <w:szCs w:val="24"/>
          <w:lang w:val="en-US"/>
        </w:rPr>
      </w:pPr>
      <w:r w:rsidRPr="00695064">
        <w:rPr>
          <w:rFonts w:ascii="Arial" w:hAnsi="Arial" w:cs="Arial"/>
          <w:sz w:val="24"/>
          <w:szCs w:val="24"/>
          <w:lang w:val="en-US"/>
        </w:rPr>
        <w:t>pancreatitis: A randomized open-label trial. Nutrition 2016; 36: 151-155.</w:t>
      </w:r>
    </w:p>
    <w:p w:rsidR="00073393" w:rsidRPr="00504CCD" w:rsidRDefault="00073393" w:rsidP="00073393">
      <w:pPr>
        <w:pStyle w:val="Prrafodelista"/>
        <w:numPr>
          <w:ilvl w:val="0"/>
          <w:numId w:val="5"/>
        </w:numPr>
        <w:rPr>
          <w:rFonts w:ascii="Arial" w:hAnsi="Arial" w:cs="Arial"/>
          <w:sz w:val="24"/>
          <w:szCs w:val="24"/>
          <w:lang w:val="en-US"/>
        </w:rPr>
      </w:pPr>
      <w:r w:rsidRPr="00504CCD">
        <w:rPr>
          <w:rFonts w:ascii="Arial" w:hAnsi="Arial" w:cs="Arial"/>
          <w:sz w:val="24"/>
          <w:szCs w:val="24"/>
          <w:lang w:val="en-US"/>
        </w:rPr>
        <w:t>http://www.healthcare.siemens.com.mx/integratedchemistry/systems/dimension-rxl-max-integ-lab-sys</w:t>
      </w:r>
    </w:p>
    <w:p w:rsidR="00073393" w:rsidRPr="00CA7577" w:rsidRDefault="00073393" w:rsidP="00073393">
      <w:pPr>
        <w:pStyle w:val="Prrafodelista"/>
        <w:numPr>
          <w:ilvl w:val="0"/>
          <w:numId w:val="5"/>
        </w:numPr>
        <w:rPr>
          <w:rFonts w:ascii="Arial" w:hAnsi="Arial" w:cs="Arial"/>
          <w:sz w:val="24"/>
          <w:szCs w:val="24"/>
          <w:lang w:val="es-AR"/>
        </w:rPr>
      </w:pPr>
      <w:r w:rsidRPr="00CA7577">
        <w:rPr>
          <w:rFonts w:ascii="Arial" w:hAnsi="Arial" w:cs="Arial"/>
          <w:sz w:val="24"/>
          <w:szCs w:val="24"/>
          <w:lang w:val="es-AR"/>
        </w:rPr>
        <w:t>Diaz Portillo J, Fernández del Barrio MT, Parede Salido F. Aspectos Básicos de Bioquímica Clínica. Diaz de Santoz, Madrid, España, 1997</w:t>
      </w:r>
      <w:r>
        <w:rPr>
          <w:rFonts w:ascii="Arial" w:hAnsi="Arial" w:cs="Arial"/>
          <w:sz w:val="24"/>
          <w:szCs w:val="24"/>
          <w:lang w:val="es-AR"/>
        </w:rPr>
        <w:t>.</w:t>
      </w:r>
    </w:p>
    <w:p w:rsidR="00073393" w:rsidRDefault="00073393" w:rsidP="00073393">
      <w:pPr>
        <w:pStyle w:val="Prrafodelista"/>
        <w:numPr>
          <w:ilvl w:val="0"/>
          <w:numId w:val="5"/>
        </w:numPr>
        <w:rPr>
          <w:rFonts w:ascii="Arial" w:hAnsi="Arial" w:cs="Arial"/>
          <w:sz w:val="24"/>
          <w:szCs w:val="24"/>
          <w:lang w:val="es-AR"/>
        </w:rPr>
      </w:pPr>
      <w:r w:rsidRPr="00CA7577">
        <w:rPr>
          <w:rFonts w:ascii="Arial" w:hAnsi="Arial" w:cs="Arial"/>
          <w:sz w:val="24"/>
          <w:szCs w:val="24"/>
          <w:lang w:val="es-AR"/>
        </w:rPr>
        <w:t>Vogel JD, Yeo C. Pancreatitis Aguda. Shackelford Cirugía del aparato digestivo; 5ta edición; Buenos Aires, Panamericana. 2005; 11-31.</w:t>
      </w:r>
    </w:p>
    <w:p w:rsidR="00073393" w:rsidRPr="00C5752D" w:rsidRDefault="00073393" w:rsidP="00073393">
      <w:pPr>
        <w:pStyle w:val="Prrafodelista"/>
        <w:numPr>
          <w:ilvl w:val="0"/>
          <w:numId w:val="5"/>
        </w:numPr>
        <w:rPr>
          <w:rFonts w:ascii="Arial" w:hAnsi="Arial" w:cs="Arial"/>
          <w:sz w:val="24"/>
          <w:szCs w:val="24"/>
          <w:lang w:val="es-AR"/>
        </w:rPr>
      </w:pPr>
      <w:r w:rsidRPr="00C5752D">
        <w:rPr>
          <w:rFonts w:ascii="Arial" w:hAnsi="Arial" w:cs="Arial"/>
          <w:sz w:val="24"/>
          <w:szCs w:val="24"/>
          <w:lang w:val="es-AR"/>
        </w:rPr>
        <w:t>García-Alonso FJ, Garrido Gómez E, Botella-Carretero JI et al. Revisión: Nutrición en pancreatitis aguda. Nutr Hosp 2012; 27(2): 333-340.</w:t>
      </w:r>
    </w:p>
    <w:p w:rsidR="00073393" w:rsidRPr="009B1A2F" w:rsidRDefault="00073393" w:rsidP="00833017">
      <w:pPr>
        <w:pStyle w:val="Prrafodelista"/>
        <w:numPr>
          <w:ilvl w:val="0"/>
          <w:numId w:val="5"/>
        </w:numPr>
        <w:rPr>
          <w:rFonts w:ascii="Arial" w:hAnsi="Arial" w:cs="Arial"/>
          <w:sz w:val="24"/>
          <w:szCs w:val="24"/>
          <w:lang w:val="en-US"/>
        </w:rPr>
      </w:pPr>
      <w:bookmarkStart w:id="11" w:name="_Hlk490063407"/>
      <w:r w:rsidRPr="009B1A2F">
        <w:rPr>
          <w:rFonts w:ascii="Arial" w:hAnsi="Arial" w:cs="Arial"/>
          <w:sz w:val="24"/>
          <w:szCs w:val="24"/>
          <w:lang w:val="es-AR"/>
        </w:rPr>
        <w:t xml:space="preserve">Lariño-Noia J, Lindkvist B, Iglesias-García J et al. </w:t>
      </w:r>
      <w:r w:rsidRPr="00833017">
        <w:rPr>
          <w:rFonts w:ascii="Arial" w:hAnsi="Arial" w:cs="Arial"/>
          <w:sz w:val="24"/>
          <w:szCs w:val="24"/>
          <w:lang w:val="en-US"/>
        </w:rPr>
        <w:t>Early and/or immediately full caloric diet versus standard refeeding in mild acute</w:t>
      </w:r>
      <w:r w:rsidR="00833017" w:rsidRPr="00833017">
        <w:rPr>
          <w:rFonts w:ascii="Arial" w:hAnsi="Arial" w:cs="Arial"/>
          <w:sz w:val="24"/>
          <w:szCs w:val="24"/>
          <w:lang w:val="en-US"/>
        </w:rPr>
        <w:t xml:space="preserve"> pancreatitis: a randomized open-label trial.</w:t>
      </w:r>
      <w:r w:rsidR="00833017">
        <w:rPr>
          <w:rFonts w:ascii="Arial" w:hAnsi="Arial" w:cs="Arial"/>
          <w:sz w:val="24"/>
          <w:szCs w:val="24"/>
          <w:lang w:val="en-US"/>
        </w:rPr>
        <w:t xml:space="preserve"> </w:t>
      </w:r>
      <w:r w:rsidR="00833017" w:rsidRPr="00833017">
        <w:rPr>
          <w:rFonts w:ascii="Arial" w:hAnsi="Arial" w:cs="Arial"/>
          <w:sz w:val="24"/>
          <w:szCs w:val="24"/>
          <w:lang w:val="en-US"/>
        </w:rPr>
        <w:t>Pancreatology 2014; 14(3):167-73</w:t>
      </w:r>
      <w:r w:rsidR="00ED1032">
        <w:rPr>
          <w:rFonts w:ascii="Arial" w:hAnsi="Arial" w:cs="Arial"/>
          <w:sz w:val="24"/>
          <w:szCs w:val="24"/>
          <w:lang w:val="en-US"/>
        </w:rPr>
        <w:t>.</w:t>
      </w:r>
    </w:p>
    <w:bookmarkEnd w:id="11"/>
    <w:p w:rsidR="00073393" w:rsidRPr="00E600F4" w:rsidRDefault="00073393" w:rsidP="00073393">
      <w:pPr>
        <w:pStyle w:val="Prrafodelista"/>
        <w:numPr>
          <w:ilvl w:val="0"/>
          <w:numId w:val="5"/>
        </w:numPr>
        <w:rPr>
          <w:rFonts w:ascii="Arial" w:hAnsi="Arial" w:cs="Arial"/>
          <w:sz w:val="24"/>
          <w:szCs w:val="24"/>
          <w:lang w:val="en-US"/>
        </w:rPr>
      </w:pPr>
      <w:r w:rsidRPr="009B1A2F">
        <w:rPr>
          <w:rFonts w:ascii="Arial" w:hAnsi="Arial" w:cs="Arial"/>
          <w:sz w:val="24"/>
          <w:szCs w:val="24"/>
          <w:lang w:val="en-US"/>
        </w:rPr>
        <w:t xml:space="preserve">Eckerwall GE, Tingstedt BB, Bergen zaun Zaun PE et al. Immediate oral feeding in patients with mild acute pancreatitis is safe and may accelerate recovery: A randomized clinical study. </w:t>
      </w:r>
      <w:r w:rsidRPr="00E600F4">
        <w:rPr>
          <w:rFonts w:ascii="Arial" w:hAnsi="Arial" w:cs="Arial"/>
          <w:sz w:val="24"/>
          <w:szCs w:val="24"/>
          <w:lang w:val="en-US"/>
        </w:rPr>
        <w:t>Clin Nutr 2007; 26: 758-763.</w:t>
      </w:r>
    </w:p>
    <w:p w:rsidR="00073393" w:rsidRPr="009B1A2F" w:rsidRDefault="00073393" w:rsidP="00073393">
      <w:pPr>
        <w:pStyle w:val="Prrafodelista"/>
        <w:numPr>
          <w:ilvl w:val="0"/>
          <w:numId w:val="5"/>
        </w:numPr>
        <w:rPr>
          <w:rFonts w:ascii="Arial" w:hAnsi="Arial" w:cs="Arial"/>
          <w:sz w:val="24"/>
          <w:szCs w:val="24"/>
          <w:lang w:val="es-AR"/>
        </w:rPr>
      </w:pPr>
      <w:r w:rsidRPr="009B1A2F">
        <w:rPr>
          <w:rFonts w:ascii="Arial" w:hAnsi="Arial" w:cs="Arial"/>
          <w:sz w:val="24"/>
          <w:szCs w:val="24"/>
          <w:lang w:val="es-AR"/>
        </w:rPr>
        <w:t xml:space="preserve">Moraes JM, Felga GE, Chebli LA et al. </w:t>
      </w:r>
      <w:r w:rsidRPr="009B1A2F">
        <w:rPr>
          <w:rFonts w:ascii="Arial" w:hAnsi="Arial" w:cs="Arial"/>
          <w:sz w:val="24"/>
          <w:szCs w:val="24"/>
          <w:lang w:val="en-US"/>
        </w:rPr>
        <w:t xml:space="preserve">A full solid diet as the initial meal in mild acute pancreatitis is safe and result in a shorter length of hospitalization: Results from a prospective, randomized, controlled, double-blind clinical trial. </w:t>
      </w:r>
      <w:r w:rsidRPr="009B1A2F">
        <w:rPr>
          <w:rFonts w:ascii="Arial" w:hAnsi="Arial" w:cs="Arial"/>
          <w:sz w:val="24"/>
          <w:szCs w:val="24"/>
          <w:lang w:val="es-AR"/>
        </w:rPr>
        <w:t>J Clin Gastroenterol 2010; 44: 517-22.</w:t>
      </w:r>
    </w:p>
    <w:p w:rsidR="00073393" w:rsidRPr="00E600F4" w:rsidRDefault="00073393" w:rsidP="00073393">
      <w:pPr>
        <w:pStyle w:val="Prrafodelista"/>
        <w:numPr>
          <w:ilvl w:val="0"/>
          <w:numId w:val="5"/>
        </w:numPr>
        <w:rPr>
          <w:rFonts w:ascii="Arial" w:hAnsi="Arial" w:cs="Arial"/>
          <w:sz w:val="24"/>
          <w:szCs w:val="24"/>
          <w:lang w:val="en-US"/>
        </w:rPr>
      </w:pPr>
      <w:r w:rsidRPr="009B1A2F">
        <w:rPr>
          <w:rFonts w:ascii="Arial" w:hAnsi="Arial" w:cs="Arial"/>
          <w:sz w:val="24"/>
          <w:szCs w:val="24"/>
          <w:lang w:val="en-US"/>
        </w:rPr>
        <w:t xml:space="preserve">Teich N, Aghdassi A, Fischer J et al. Optimal timing of oral refeeding in mild acute pancreatitis: Results of an open randomized multicenter trial. </w:t>
      </w:r>
      <w:r w:rsidRPr="00E600F4">
        <w:rPr>
          <w:rFonts w:ascii="Arial" w:hAnsi="Arial" w:cs="Arial"/>
          <w:sz w:val="24"/>
          <w:szCs w:val="24"/>
          <w:lang w:val="en-US"/>
        </w:rPr>
        <w:t>Pancreas 2010; 39: 1088-1092.</w:t>
      </w:r>
    </w:p>
    <w:p w:rsidR="00073393" w:rsidRPr="00E600F4" w:rsidRDefault="00073393" w:rsidP="00073393">
      <w:pPr>
        <w:pStyle w:val="Prrafodelista"/>
        <w:numPr>
          <w:ilvl w:val="0"/>
          <w:numId w:val="5"/>
        </w:numPr>
        <w:rPr>
          <w:rFonts w:ascii="Arial" w:hAnsi="Arial" w:cs="Arial"/>
          <w:sz w:val="24"/>
          <w:szCs w:val="24"/>
          <w:lang w:val="en-US"/>
        </w:rPr>
      </w:pPr>
      <w:r w:rsidRPr="009B1A2F">
        <w:rPr>
          <w:rFonts w:ascii="Arial" w:hAnsi="Arial" w:cs="Arial"/>
          <w:sz w:val="24"/>
          <w:szCs w:val="24"/>
          <w:lang w:val="en-US"/>
        </w:rPr>
        <w:t xml:space="preserve">Ren T, Shi Z, Tang J, et al. Risk factors of refeeding intolerance in mild acute interstitial pancreatitis: A retrospective study of 323 patients. </w:t>
      </w:r>
      <w:r w:rsidRPr="00E600F4">
        <w:rPr>
          <w:rFonts w:ascii="Arial" w:hAnsi="Arial" w:cs="Arial"/>
          <w:sz w:val="24"/>
          <w:szCs w:val="24"/>
          <w:lang w:val="en-US"/>
        </w:rPr>
        <w:t>Pancreatology 2015; 15(2): 111-114.</w:t>
      </w:r>
    </w:p>
    <w:p w:rsidR="00073393" w:rsidRPr="00E600F4" w:rsidRDefault="00073393" w:rsidP="00073393">
      <w:pPr>
        <w:pStyle w:val="Prrafodelista"/>
        <w:numPr>
          <w:ilvl w:val="0"/>
          <w:numId w:val="5"/>
        </w:numPr>
        <w:rPr>
          <w:rFonts w:ascii="Arial" w:hAnsi="Arial" w:cs="Arial"/>
          <w:sz w:val="24"/>
          <w:szCs w:val="24"/>
          <w:lang w:val="en-US"/>
        </w:rPr>
      </w:pPr>
      <w:r w:rsidRPr="00DA1842">
        <w:rPr>
          <w:rFonts w:ascii="Arial" w:hAnsi="Arial" w:cs="Arial"/>
          <w:sz w:val="24"/>
          <w:szCs w:val="24"/>
          <w:lang w:val="en-US"/>
        </w:rPr>
        <w:t xml:space="preserve">Bakkerij OJ, Van Brunschot S, Farre A et al. </w:t>
      </w:r>
      <w:r w:rsidRPr="006970F1">
        <w:rPr>
          <w:rFonts w:ascii="Arial" w:hAnsi="Arial" w:cs="Arial"/>
          <w:sz w:val="24"/>
          <w:szCs w:val="24"/>
          <w:lang w:val="en-US"/>
        </w:rPr>
        <w:t>Timing of enteral nutrition in acute pancreatitis: individual patient data meta-analysis of 8 prospective cohorts. Gastroenterology 2013; 144(1): 274</w:t>
      </w:r>
      <w:r>
        <w:rPr>
          <w:rFonts w:ascii="Arial" w:hAnsi="Arial" w:cs="Arial"/>
          <w:sz w:val="24"/>
          <w:szCs w:val="24"/>
          <w:lang w:val="en-US"/>
        </w:rPr>
        <w:t>-?</w:t>
      </w:r>
      <w:r w:rsidRPr="006970F1">
        <w:rPr>
          <w:rFonts w:ascii="Arial" w:hAnsi="Arial" w:cs="Arial"/>
          <w:sz w:val="24"/>
          <w:szCs w:val="24"/>
          <w:lang w:val="en-US"/>
        </w:rPr>
        <w:t>.</w:t>
      </w:r>
    </w:p>
    <w:p w:rsidR="00073393" w:rsidRPr="006970F1" w:rsidRDefault="00073393" w:rsidP="00073393">
      <w:pPr>
        <w:pStyle w:val="Prrafodelista"/>
        <w:numPr>
          <w:ilvl w:val="0"/>
          <w:numId w:val="5"/>
        </w:numPr>
        <w:rPr>
          <w:rFonts w:ascii="Arial" w:hAnsi="Arial" w:cs="Arial"/>
          <w:sz w:val="24"/>
          <w:szCs w:val="24"/>
          <w:lang w:val="es-AR"/>
        </w:rPr>
      </w:pPr>
      <w:r w:rsidRPr="006970F1">
        <w:rPr>
          <w:rFonts w:ascii="Arial" w:hAnsi="Arial" w:cs="Arial"/>
          <w:sz w:val="24"/>
          <w:szCs w:val="24"/>
          <w:lang w:val="en-US"/>
        </w:rPr>
        <w:t xml:space="preserve">De Madaria E. Latest advances in acute pancreatitis. Gastroenterol Hepatol 2013; 36 (2): 98-102. </w:t>
      </w:r>
    </w:p>
    <w:p w:rsidR="00073393" w:rsidRPr="006970F1" w:rsidRDefault="00073393" w:rsidP="00073393">
      <w:pPr>
        <w:pStyle w:val="Prrafodelista"/>
        <w:numPr>
          <w:ilvl w:val="0"/>
          <w:numId w:val="5"/>
        </w:numPr>
        <w:rPr>
          <w:rFonts w:ascii="Arial" w:hAnsi="Arial" w:cs="Arial"/>
          <w:sz w:val="24"/>
          <w:szCs w:val="24"/>
          <w:lang w:val="es-AR"/>
        </w:rPr>
      </w:pPr>
      <w:r w:rsidRPr="006970F1">
        <w:rPr>
          <w:rFonts w:ascii="Arial" w:hAnsi="Arial" w:cs="Arial"/>
          <w:sz w:val="24"/>
          <w:szCs w:val="24"/>
          <w:lang w:val="es-AR"/>
        </w:rPr>
        <w:t xml:space="preserve">Attila O, Laszlo R (Jr). </w:t>
      </w:r>
      <w:r w:rsidRPr="006970F1">
        <w:rPr>
          <w:rFonts w:ascii="Arial" w:hAnsi="Arial" w:cs="Arial"/>
          <w:sz w:val="24"/>
          <w:szCs w:val="24"/>
          <w:lang w:val="en-US"/>
        </w:rPr>
        <w:t>Enteral nutrition in acute pancreatitis: A review of the current evidence. World J Gastroenterol 2014; 20(43): 16123-16131.</w:t>
      </w:r>
    </w:p>
    <w:p w:rsidR="00073393" w:rsidRPr="006970F1" w:rsidRDefault="00073393" w:rsidP="00073393">
      <w:pPr>
        <w:pStyle w:val="Prrafodelista"/>
        <w:numPr>
          <w:ilvl w:val="0"/>
          <w:numId w:val="5"/>
        </w:numPr>
        <w:rPr>
          <w:rFonts w:ascii="Arial" w:hAnsi="Arial" w:cs="Arial"/>
          <w:sz w:val="24"/>
          <w:szCs w:val="24"/>
          <w:lang w:val="es-AR"/>
        </w:rPr>
      </w:pPr>
      <w:r w:rsidRPr="006970F1">
        <w:rPr>
          <w:rFonts w:ascii="Arial" w:hAnsi="Arial" w:cs="Arial"/>
          <w:sz w:val="24"/>
          <w:szCs w:val="24"/>
          <w:lang w:val="en-US"/>
        </w:rPr>
        <w:t>McClave SA, Greene LM, Snider HL. Comparison of the Safety of Early Enteral vs Parenteral Nutrition in Mild Acute Pancreatitis. Journal of Parenteral and Enteral Nutrition 1997; 21(1): 14-20.</w:t>
      </w:r>
    </w:p>
    <w:p w:rsidR="00073393" w:rsidRDefault="00073393" w:rsidP="00073393">
      <w:pPr>
        <w:pStyle w:val="Prrafodelista"/>
        <w:numPr>
          <w:ilvl w:val="0"/>
          <w:numId w:val="5"/>
        </w:numPr>
        <w:rPr>
          <w:rFonts w:ascii="Arial" w:hAnsi="Arial" w:cs="Arial"/>
          <w:sz w:val="24"/>
          <w:szCs w:val="24"/>
          <w:lang w:val="es-AR"/>
        </w:rPr>
      </w:pPr>
      <w:r w:rsidRPr="006970F1">
        <w:rPr>
          <w:rFonts w:ascii="Arial" w:hAnsi="Arial" w:cs="Arial"/>
          <w:sz w:val="24"/>
          <w:szCs w:val="24"/>
          <w:lang w:val="en-US"/>
        </w:rPr>
        <w:t xml:space="preserve">Abou-Assi S, Craig K, O'Keefe SJ. Hypocaloric jejunal feeding is better than total parenteral nutrition in acute pancreatitis: results of a randomized comparative study.  </w:t>
      </w:r>
      <w:r w:rsidRPr="006970F1">
        <w:rPr>
          <w:rFonts w:ascii="Arial" w:hAnsi="Arial" w:cs="Arial"/>
          <w:sz w:val="24"/>
          <w:szCs w:val="24"/>
          <w:lang w:val="es-AR"/>
        </w:rPr>
        <w:t>Am J Gastroenterol 2002; 97(9): 2255-</w:t>
      </w:r>
      <w:r>
        <w:rPr>
          <w:rFonts w:ascii="Arial" w:hAnsi="Arial" w:cs="Arial"/>
          <w:sz w:val="24"/>
          <w:szCs w:val="24"/>
          <w:lang w:val="es-AR"/>
        </w:rPr>
        <w:t>22</w:t>
      </w:r>
      <w:r w:rsidRPr="006970F1">
        <w:rPr>
          <w:rFonts w:ascii="Arial" w:hAnsi="Arial" w:cs="Arial"/>
          <w:sz w:val="24"/>
          <w:szCs w:val="24"/>
          <w:lang w:val="es-AR"/>
        </w:rPr>
        <w:t>62.</w:t>
      </w:r>
    </w:p>
    <w:p w:rsidR="00073393" w:rsidRPr="0005565B" w:rsidRDefault="00073393" w:rsidP="00073393">
      <w:pPr>
        <w:pStyle w:val="Prrafodelista"/>
        <w:numPr>
          <w:ilvl w:val="0"/>
          <w:numId w:val="5"/>
        </w:numPr>
        <w:rPr>
          <w:rFonts w:ascii="Arial" w:hAnsi="Arial" w:cs="Arial"/>
          <w:sz w:val="24"/>
          <w:szCs w:val="24"/>
          <w:lang w:val="en-US"/>
        </w:rPr>
      </w:pPr>
      <w:r w:rsidRPr="006970F1">
        <w:rPr>
          <w:rFonts w:ascii="Arial" w:hAnsi="Arial" w:cs="Arial"/>
          <w:sz w:val="24"/>
          <w:szCs w:val="24"/>
          <w:lang w:val="es-AR"/>
        </w:rPr>
        <w:t xml:space="preserve">Li J, Xue GJ, Liu YL et al. </w:t>
      </w:r>
      <w:r w:rsidRPr="006970F1">
        <w:rPr>
          <w:rFonts w:ascii="Arial" w:hAnsi="Arial" w:cs="Arial"/>
          <w:sz w:val="24"/>
          <w:szCs w:val="24"/>
          <w:lang w:val="en-US"/>
        </w:rPr>
        <w:t>Early oral refeeding wisdom in patients with mild acute pancreatitis. Pancreas 2013; 42(1): 88-91.</w:t>
      </w:r>
    </w:p>
    <w:p w:rsidR="00073393" w:rsidRPr="00E600F4" w:rsidRDefault="00073393" w:rsidP="00073393">
      <w:pPr>
        <w:pStyle w:val="Prrafodelista"/>
        <w:numPr>
          <w:ilvl w:val="0"/>
          <w:numId w:val="5"/>
        </w:numPr>
        <w:rPr>
          <w:rFonts w:ascii="Arial" w:hAnsi="Arial" w:cs="Arial"/>
          <w:sz w:val="24"/>
          <w:szCs w:val="24"/>
          <w:lang w:val="en-US"/>
        </w:rPr>
      </w:pPr>
      <w:r w:rsidRPr="0005565B">
        <w:rPr>
          <w:rFonts w:ascii="Arial" w:hAnsi="Arial" w:cs="Arial"/>
          <w:sz w:val="24"/>
          <w:szCs w:val="24"/>
          <w:lang w:val="en-US"/>
        </w:rPr>
        <w:t xml:space="preserve">Rajkumar N, Karthikeyan VS, Ali SM et al. </w:t>
      </w:r>
      <w:r w:rsidRPr="006970F1">
        <w:rPr>
          <w:rFonts w:ascii="Arial" w:hAnsi="Arial" w:cs="Arial"/>
          <w:sz w:val="24"/>
          <w:szCs w:val="24"/>
          <w:lang w:val="en-US"/>
        </w:rPr>
        <w:t>Clear liquid diet vs soft diet as the initial meal in patients with mild acute pancreatitis: a randomized interventional trial. Nutr Clin Pract 2013; 28(3): 365-</w:t>
      </w:r>
      <w:r>
        <w:rPr>
          <w:rFonts w:ascii="Arial" w:hAnsi="Arial" w:cs="Arial"/>
          <w:sz w:val="24"/>
          <w:szCs w:val="24"/>
          <w:lang w:val="en-US"/>
        </w:rPr>
        <w:t>3</w:t>
      </w:r>
      <w:r w:rsidRPr="006970F1">
        <w:rPr>
          <w:rFonts w:ascii="Arial" w:hAnsi="Arial" w:cs="Arial"/>
          <w:sz w:val="24"/>
          <w:szCs w:val="24"/>
          <w:lang w:val="en-US"/>
        </w:rPr>
        <w:t>70.</w:t>
      </w:r>
    </w:p>
    <w:p w:rsidR="00073393" w:rsidRPr="006970F1" w:rsidRDefault="00073393" w:rsidP="00073393">
      <w:pPr>
        <w:pStyle w:val="Prrafodelista"/>
        <w:numPr>
          <w:ilvl w:val="0"/>
          <w:numId w:val="5"/>
        </w:numPr>
        <w:rPr>
          <w:rFonts w:ascii="Arial" w:hAnsi="Arial" w:cs="Arial"/>
          <w:sz w:val="24"/>
          <w:szCs w:val="24"/>
          <w:lang w:val="es-AR"/>
        </w:rPr>
      </w:pPr>
      <w:r w:rsidRPr="006970F1">
        <w:rPr>
          <w:rFonts w:ascii="Arial" w:hAnsi="Arial" w:cs="Arial"/>
          <w:sz w:val="24"/>
          <w:szCs w:val="24"/>
          <w:lang w:val="en-US"/>
        </w:rPr>
        <w:t>Petrov MS1, McIlroy K, Grayson L et al. Early nasogastric tube feeding versus nil per os in mild to moderate acute pancreatitis: a randomized controlled trial.  Clin Nutr 2013; 32(5): 697-703.</w:t>
      </w:r>
    </w:p>
    <w:p w:rsidR="00073393" w:rsidRPr="00E600F4" w:rsidRDefault="00073393" w:rsidP="00073393">
      <w:pPr>
        <w:pStyle w:val="Prrafodelista"/>
        <w:numPr>
          <w:ilvl w:val="0"/>
          <w:numId w:val="5"/>
        </w:numPr>
        <w:rPr>
          <w:rFonts w:ascii="Arial" w:hAnsi="Arial" w:cs="Arial"/>
          <w:sz w:val="24"/>
          <w:szCs w:val="24"/>
          <w:lang w:val="en-US"/>
        </w:rPr>
      </w:pPr>
      <w:r w:rsidRPr="006970F1">
        <w:rPr>
          <w:rFonts w:ascii="Arial" w:hAnsi="Arial" w:cs="Arial"/>
          <w:sz w:val="24"/>
          <w:szCs w:val="24"/>
          <w:lang w:val="en-US"/>
        </w:rPr>
        <w:t>Moshage HJ, Janssen JA, Franssen JH et al. Study of the molecular mechanism of decreased liver synthesis of albumin in inflammation. J Clin Invest 1987; 79: 1635-1641.</w:t>
      </w:r>
    </w:p>
    <w:p w:rsidR="00073393" w:rsidRPr="006970F1" w:rsidRDefault="00073393" w:rsidP="00073393">
      <w:pPr>
        <w:pStyle w:val="Prrafodelista"/>
        <w:numPr>
          <w:ilvl w:val="0"/>
          <w:numId w:val="5"/>
        </w:numPr>
        <w:rPr>
          <w:rFonts w:ascii="Arial" w:hAnsi="Arial" w:cs="Arial"/>
          <w:sz w:val="24"/>
          <w:szCs w:val="24"/>
          <w:lang w:val="es-AR"/>
        </w:rPr>
      </w:pPr>
      <w:r w:rsidRPr="006970F1">
        <w:rPr>
          <w:rFonts w:ascii="Arial" w:hAnsi="Arial" w:cs="Arial"/>
          <w:sz w:val="24"/>
          <w:szCs w:val="24"/>
          <w:lang w:val="en-US"/>
        </w:rPr>
        <w:t>Davies JW, Ricketts CR, Bull JP: Studies of plasma protein metabolism: I. Albumin in burned and injured patients. Clin Sci 1962; 23: 411-423.</w:t>
      </w:r>
    </w:p>
    <w:p w:rsidR="00073393" w:rsidRPr="00E600F4" w:rsidRDefault="00073393" w:rsidP="00073393">
      <w:pPr>
        <w:pStyle w:val="Prrafodelista"/>
        <w:numPr>
          <w:ilvl w:val="0"/>
          <w:numId w:val="5"/>
        </w:numPr>
        <w:rPr>
          <w:rFonts w:ascii="Arial" w:hAnsi="Arial" w:cs="Arial"/>
          <w:sz w:val="24"/>
          <w:szCs w:val="24"/>
          <w:lang w:val="en-US"/>
        </w:rPr>
      </w:pPr>
      <w:r w:rsidRPr="006970F1">
        <w:rPr>
          <w:rFonts w:ascii="Arial" w:hAnsi="Arial" w:cs="Arial"/>
          <w:sz w:val="24"/>
          <w:szCs w:val="24"/>
          <w:lang w:val="en-US"/>
        </w:rPr>
        <w:t xml:space="preserve">Fleck A, Raines G, Hawker F </w:t>
      </w:r>
      <w:r w:rsidR="00EC4486" w:rsidRPr="006970F1">
        <w:rPr>
          <w:rFonts w:ascii="Arial" w:hAnsi="Arial" w:cs="Arial"/>
          <w:sz w:val="24"/>
          <w:szCs w:val="24"/>
          <w:lang w:val="en-US"/>
        </w:rPr>
        <w:t>Et al.</w:t>
      </w:r>
      <w:r w:rsidRPr="006970F1">
        <w:rPr>
          <w:rFonts w:ascii="Arial" w:hAnsi="Arial" w:cs="Arial"/>
          <w:sz w:val="24"/>
          <w:szCs w:val="24"/>
          <w:lang w:val="en-US"/>
        </w:rPr>
        <w:t xml:space="preserve"> Increased vascular permeability: A major cause of hypoalbuminaemia in disease and injury. Lancet 1985; 1: 781-784.</w:t>
      </w:r>
    </w:p>
    <w:p w:rsidR="00073393" w:rsidRPr="00073393" w:rsidRDefault="00073393" w:rsidP="00073393">
      <w:pPr>
        <w:pStyle w:val="Prrafodelista"/>
        <w:numPr>
          <w:ilvl w:val="0"/>
          <w:numId w:val="5"/>
        </w:numPr>
        <w:rPr>
          <w:rFonts w:ascii="Arial" w:hAnsi="Arial" w:cs="Arial"/>
          <w:sz w:val="24"/>
          <w:szCs w:val="24"/>
          <w:lang w:val="es-AR"/>
        </w:rPr>
      </w:pPr>
      <w:r w:rsidRPr="006970F1">
        <w:rPr>
          <w:rFonts w:ascii="Arial" w:hAnsi="Arial" w:cs="Arial"/>
          <w:sz w:val="24"/>
          <w:szCs w:val="24"/>
          <w:lang w:val="en-US"/>
        </w:rPr>
        <w:t>Raguso CA, Dupertuis YM, Pichard C. The role of visceral proteins in the nutritional assessment of intensive care unit patients. Curr Opin Clin Nutr Metab Care 2003; 6: 211-</w:t>
      </w:r>
      <w:r>
        <w:rPr>
          <w:rFonts w:ascii="Arial" w:hAnsi="Arial" w:cs="Arial"/>
          <w:sz w:val="24"/>
          <w:szCs w:val="24"/>
          <w:lang w:val="en-US"/>
        </w:rPr>
        <w:t>21</w:t>
      </w:r>
      <w:r w:rsidRPr="006970F1">
        <w:rPr>
          <w:rFonts w:ascii="Arial" w:hAnsi="Arial" w:cs="Arial"/>
          <w:sz w:val="24"/>
          <w:szCs w:val="24"/>
          <w:lang w:val="en-US"/>
        </w:rPr>
        <w:t>6.</w:t>
      </w:r>
    </w:p>
    <w:p w:rsidR="00073393" w:rsidRDefault="00073393" w:rsidP="00073393">
      <w:pPr>
        <w:pStyle w:val="Prrafodelista"/>
        <w:numPr>
          <w:ilvl w:val="0"/>
          <w:numId w:val="5"/>
        </w:numPr>
        <w:rPr>
          <w:rFonts w:ascii="Arial" w:hAnsi="Arial" w:cs="Arial"/>
          <w:sz w:val="24"/>
          <w:szCs w:val="24"/>
          <w:lang w:val="en-US"/>
        </w:rPr>
      </w:pPr>
      <w:r w:rsidRPr="00073393">
        <w:rPr>
          <w:rFonts w:ascii="Arial" w:hAnsi="Arial" w:cs="Arial"/>
          <w:sz w:val="24"/>
          <w:szCs w:val="24"/>
          <w:lang w:val="en-US"/>
        </w:rPr>
        <w:t>Kaplan M, Ates I, Akpinar MY et al.</w:t>
      </w:r>
      <w:r w:rsidRPr="00073393">
        <w:t xml:space="preserve"> </w:t>
      </w:r>
      <w:r w:rsidRPr="00073393">
        <w:rPr>
          <w:rFonts w:ascii="Arial" w:hAnsi="Arial" w:cs="Arial"/>
          <w:sz w:val="24"/>
          <w:szCs w:val="24"/>
          <w:lang w:val="en-US"/>
        </w:rPr>
        <w:t>Predictive value of C-reactive protein/albumin ratio in acute pancreatitis.</w:t>
      </w:r>
      <w:r>
        <w:rPr>
          <w:rFonts w:ascii="Arial" w:hAnsi="Arial" w:cs="Arial"/>
          <w:sz w:val="24"/>
          <w:szCs w:val="24"/>
          <w:lang w:val="en-US"/>
        </w:rPr>
        <w:t xml:space="preserve"> </w:t>
      </w:r>
      <w:r w:rsidRPr="00073393">
        <w:rPr>
          <w:rFonts w:ascii="Arial" w:hAnsi="Arial" w:cs="Arial"/>
          <w:sz w:val="24"/>
          <w:szCs w:val="24"/>
          <w:lang w:val="en-US"/>
        </w:rPr>
        <w:t xml:space="preserve">Pancreat Dis Int. 2017 </w:t>
      </w:r>
      <w:r>
        <w:rPr>
          <w:rFonts w:ascii="Arial" w:hAnsi="Arial" w:cs="Arial"/>
          <w:sz w:val="24"/>
          <w:szCs w:val="24"/>
          <w:lang w:val="en-US"/>
        </w:rPr>
        <w:t>15;16(4):424-430</w:t>
      </w:r>
      <w:r w:rsidRPr="00073393">
        <w:rPr>
          <w:rFonts w:ascii="Arial" w:hAnsi="Arial" w:cs="Arial"/>
          <w:sz w:val="24"/>
          <w:szCs w:val="24"/>
          <w:lang w:val="en-US"/>
        </w:rPr>
        <w:t>.</w:t>
      </w:r>
    </w:p>
    <w:p w:rsidR="00073393" w:rsidRPr="00073393" w:rsidRDefault="00073393" w:rsidP="00073393">
      <w:pPr>
        <w:pStyle w:val="Prrafodelista"/>
        <w:numPr>
          <w:ilvl w:val="0"/>
          <w:numId w:val="5"/>
        </w:numPr>
        <w:rPr>
          <w:rFonts w:ascii="Arial" w:hAnsi="Arial" w:cs="Arial"/>
          <w:sz w:val="24"/>
          <w:szCs w:val="24"/>
          <w:lang w:val="en-US"/>
        </w:rPr>
      </w:pPr>
      <w:r w:rsidRPr="00073393">
        <w:rPr>
          <w:rFonts w:ascii="Arial" w:hAnsi="Arial" w:cs="Arial"/>
          <w:sz w:val="24"/>
          <w:szCs w:val="24"/>
          <w:lang w:val="en-US"/>
        </w:rPr>
        <w:t xml:space="preserve"> Márta K, Farkas N, Szabó I et al. Meta-Analysis of Early Nutrition: The Benefits of Enteral Feeding Compared to a Nil Per Os Diet Not Only in Severe, but Also in Mild and Moderate Acute Pancreatitis. </w:t>
      </w:r>
      <w:r w:rsidRPr="00E600F4">
        <w:rPr>
          <w:rFonts w:ascii="Arial" w:hAnsi="Arial" w:cs="Arial"/>
          <w:sz w:val="24"/>
          <w:szCs w:val="24"/>
          <w:lang w:val="en-US"/>
        </w:rPr>
        <w:t>International Journal of Molecular Sciences 2016; 17(10): 1691-93.</w:t>
      </w:r>
    </w:p>
    <w:p w:rsidR="00C0523D" w:rsidRDefault="00C0523D"/>
    <w:sectPr w:rsidR="00C0523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1B1" w:rsidRDefault="000121B1">
      <w:pPr>
        <w:spacing w:after="0" w:line="240" w:lineRule="auto"/>
      </w:pPr>
      <w:r>
        <w:separator/>
      </w:r>
    </w:p>
  </w:endnote>
  <w:endnote w:type="continuationSeparator" w:id="0">
    <w:p w:rsidR="000121B1" w:rsidRDefault="0001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358" w:rsidRDefault="00073393" w:rsidP="00ED1C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4358" w:rsidRDefault="000121B1" w:rsidP="00ED1C8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358" w:rsidRDefault="00073393" w:rsidP="00ED1C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4486">
      <w:rPr>
        <w:rStyle w:val="Nmerodepgina"/>
        <w:noProof/>
      </w:rPr>
      <w:t>1</w:t>
    </w:r>
    <w:r>
      <w:rPr>
        <w:rStyle w:val="Nmerodepgina"/>
      </w:rPr>
      <w:fldChar w:fldCharType="end"/>
    </w:r>
  </w:p>
  <w:p w:rsidR="00884358" w:rsidRDefault="000121B1" w:rsidP="00ED1C8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1B1" w:rsidRDefault="000121B1">
      <w:pPr>
        <w:spacing w:after="0" w:line="240" w:lineRule="auto"/>
      </w:pPr>
      <w:r>
        <w:separator/>
      </w:r>
    </w:p>
  </w:footnote>
  <w:footnote w:type="continuationSeparator" w:id="0">
    <w:p w:rsidR="000121B1" w:rsidRDefault="0001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1793"/>
    <w:multiLevelType w:val="hybridMultilevel"/>
    <w:tmpl w:val="1A6E60F2"/>
    <w:lvl w:ilvl="0" w:tplc="08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5C36DA6"/>
    <w:multiLevelType w:val="hybridMultilevel"/>
    <w:tmpl w:val="0A26B280"/>
    <w:lvl w:ilvl="0" w:tplc="68840B68">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CB10758"/>
    <w:multiLevelType w:val="hybridMultilevel"/>
    <w:tmpl w:val="386AC994"/>
    <w:lvl w:ilvl="0" w:tplc="08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5A45583"/>
    <w:multiLevelType w:val="hybridMultilevel"/>
    <w:tmpl w:val="76089E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1F96674"/>
    <w:multiLevelType w:val="hybridMultilevel"/>
    <w:tmpl w:val="7F44F454"/>
    <w:lvl w:ilvl="0" w:tplc="08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93"/>
    <w:rsid w:val="000121B1"/>
    <w:rsid w:val="000377B0"/>
    <w:rsid w:val="00060F5C"/>
    <w:rsid w:val="00071781"/>
    <w:rsid w:val="00073393"/>
    <w:rsid w:val="000A3181"/>
    <w:rsid w:val="000A5B27"/>
    <w:rsid w:val="00137935"/>
    <w:rsid w:val="00160614"/>
    <w:rsid w:val="001B76BB"/>
    <w:rsid w:val="00227903"/>
    <w:rsid w:val="00235A8F"/>
    <w:rsid w:val="002A5CD0"/>
    <w:rsid w:val="002C4474"/>
    <w:rsid w:val="00377EA4"/>
    <w:rsid w:val="003A25B5"/>
    <w:rsid w:val="003C2ECD"/>
    <w:rsid w:val="003C4B94"/>
    <w:rsid w:val="003C5ACF"/>
    <w:rsid w:val="00403C27"/>
    <w:rsid w:val="00457D6B"/>
    <w:rsid w:val="004B2F79"/>
    <w:rsid w:val="004B3AB6"/>
    <w:rsid w:val="004B3D1E"/>
    <w:rsid w:val="004B6B64"/>
    <w:rsid w:val="004F11BC"/>
    <w:rsid w:val="00504335"/>
    <w:rsid w:val="005272A0"/>
    <w:rsid w:val="00542EFC"/>
    <w:rsid w:val="0054307B"/>
    <w:rsid w:val="005D4201"/>
    <w:rsid w:val="005F3601"/>
    <w:rsid w:val="0066257F"/>
    <w:rsid w:val="00740275"/>
    <w:rsid w:val="00756E28"/>
    <w:rsid w:val="00764FC5"/>
    <w:rsid w:val="00794C89"/>
    <w:rsid w:val="00831F04"/>
    <w:rsid w:val="00833017"/>
    <w:rsid w:val="00935429"/>
    <w:rsid w:val="009B4933"/>
    <w:rsid w:val="009C3CEC"/>
    <w:rsid w:val="00A92306"/>
    <w:rsid w:val="00A96DC6"/>
    <w:rsid w:val="00B00F12"/>
    <w:rsid w:val="00B238D3"/>
    <w:rsid w:val="00B54F39"/>
    <w:rsid w:val="00B76B69"/>
    <w:rsid w:val="00BC1620"/>
    <w:rsid w:val="00BE325A"/>
    <w:rsid w:val="00C0523D"/>
    <w:rsid w:val="00C70A3F"/>
    <w:rsid w:val="00C712B3"/>
    <w:rsid w:val="00C74DD9"/>
    <w:rsid w:val="00CE30DE"/>
    <w:rsid w:val="00CF0A29"/>
    <w:rsid w:val="00D332CC"/>
    <w:rsid w:val="00D36E64"/>
    <w:rsid w:val="00D9309B"/>
    <w:rsid w:val="00D97890"/>
    <w:rsid w:val="00DE29EB"/>
    <w:rsid w:val="00E57D5A"/>
    <w:rsid w:val="00E600F4"/>
    <w:rsid w:val="00E84730"/>
    <w:rsid w:val="00EC4486"/>
    <w:rsid w:val="00ED1032"/>
    <w:rsid w:val="00EF2DE2"/>
    <w:rsid w:val="00F33372"/>
    <w:rsid w:val="00F8114E"/>
    <w:rsid w:val="00FB09A5"/>
    <w:rsid w:val="00FB0E9D"/>
    <w:rsid w:val="00FF3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9EB2"/>
  <w15:chartTrackingRefBased/>
  <w15:docId w15:val="{A1D67E0B-F11F-4D77-A07C-E1A8E8F3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3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393"/>
    <w:pPr>
      <w:ind w:left="720"/>
      <w:contextualSpacing/>
    </w:pPr>
  </w:style>
  <w:style w:type="table" w:styleId="Tablaconcuadrcula">
    <w:name w:val="Table Grid"/>
    <w:basedOn w:val="Tablanormal"/>
    <w:uiPriority w:val="39"/>
    <w:rsid w:val="0007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0733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733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393"/>
  </w:style>
  <w:style w:type="character" w:styleId="Nmerodepgina">
    <w:name w:val="page number"/>
    <w:basedOn w:val="Fuentedeprrafopredeter"/>
    <w:uiPriority w:val="99"/>
    <w:semiHidden/>
    <w:unhideWhenUsed/>
    <w:rsid w:val="0007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5512</Words>
  <Characters>30316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rodolfocecenarro@gmail.com</cp:lastModifiedBy>
  <cp:revision>59</cp:revision>
  <dcterms:created xsi:type="dcterms:W3CDTF">2018-03-09T16:48:00Z</dcterms:created>
  <dcterms:modified xsi:type="dcterms:W3CDTF">2018-03-09T17:43:00Z</dcterms:modified>
</cp:coreProperties>
</file>