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  <w:t xml:space="preserve">                      </w:t>
      </w:r>
      <w:r>
        <w:rPr>
          <w:b/>
        </w:rPr>
        <w:t xml:space="preserve">Prototipo  rápido para docencia y estrategias quirúrgicas en Pediatría   </w:t>
      </w:r>
    </w:p>
    <w:p>
      <w:pPr>
        <w:pStyle w:val="style0"/>
        <w:jc w:val="both"/>
      </w:pPr>
      <w:r>
        <w:rPr>
          <w:sz w:val="24"/>
          <w:szCs w:val="24"/>
          <w:u w:val="single"/>
        </w:rPr>
        <w:t>Bibliografía</w:t>
      </w:r>
      <w:r>
        <w:rPr>
          <w:sz w:val="24"/>
          <w:szCs w:val="24"/>
        </w:rPr>
        <w:t>: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1. Rizzolo LJ, Rando WC, O´Brien MK, et al. </w:t>
      </w:r>
      <w:r>
        <w:rPr>
          <w:rFonts w:ascii="Arial" w:cs="Arial" w:hAnsi="Arial"/>
          <w:lang w:val="en-US"/>
        </w:rPr>
        <w:t>Design, implementation, and evaluation of an    innovative anatomy course. Anat Sci Educ 2010;3:109-20.</w:t>
      </w:r>
    </w:p>
    <w:p>
      <w:pPr>
        <w:pStyle w:val="style0"/>
        <w:jc w:val="both"/>
      </w:pPr>
      <w:r>
        <w:rPr>
          <w:sz w:val="24"/>
          <w:szCs w:val="24"/>
        </w:rPr>
        <w:t xml:space="preserve">2.  Li J, Nie L, Li Z et al. </w:t>
      </w:r>
      <w:r>
        <w:rPr>
          <w:sz w:val="24"/>
          <w:szCs w:val="24"/>
          <w:lang w:val="en-US"/>
        </w:rPr>
        <w:t>Maximizing modern distribution of complex anatomical spatial information:  3D reconstruction and rapid prototype production of anatomical corrosion cast of human specimens. Anat Sci Educ. 2012;5:330-39.</w:t>
      </w:r>
    </w:p>
    <w:p>
      <w:pPr>
        <w:pStyle w:val="style0"/>
        <w:jc w:val="both"/>
      </w:pPr>
      <w:r>
        <w:rPr>
          <w:sz w:val="24"/>
          <w:szCs w:val="24"/>
          <w:lang w:val="en-US"/>
        </w:rPr>
        <w:t>3. Murugesan K, PA, Sharma SK, et al. Comparative Evaluation of Dimension and Surface Detail Accuracy of Model Produced by Three Different Rapid Prototype Techniques. J Indian Prosthodont Soc  2012;12:16-20.</w:t>
      </w:r>
    </w:p>
    <w:p>
      <w:pPr>
        <w:pStyle w:val="style0"/>
        <w:jc w:val="both"/>
      </w:pPr>
      <w:r>
        <w:rPr>
          <w:sz w:val="24"/>
          <w:szCs w:val="24"/>
          <w:lang w:val="en-US"/>
        </w:rPr>
        <w:t>4. Challoner A, Erolin C. Creating pathology models from MRI data: a comparison of virtual 3D modeling and rapid prototyping techniques. J Vis Commun Med 2013;36:11-19.</w:t>
      </w:r>
    </w:p>
    <w:p>
      <w:pPr>
        <w:pStyle w:val="style0"/>
        <w:jc w:val="both"/>
      </w:pPr>
      <w:r>
        <w:rPr>
          <w:sz w:val="24"/>
          <w:szCs w:val="24"/>
          <w:lang w:val="en-US"/>
        </w:rPr>
        <w:t>5. Morrison DA, Guy DT, Day RE, et al.  Simultaneous repair of two large cranial defects using rapid prototyping and custom computer-designed titanium plates: a case report.  Proc Inst Mech Eng H. 2011;225:1108-12.</w:t>
      </w:r>
    </w:p>
    <w:p>
      <w:pPr>
        <w:pStyle w:val="style0"/>
        <w:jc w:val="both"/>
      </w:pPr>
      <w:r>
        <w:rPr>
          <w:sz w:val="24"/>
          <w:szCs w:val="24"/>
          <w:lang w:val="en-US"/>
        </w:rPr>
        <w:t>6.Bullock P, Dunaway D, McGurk L, et al. Integration of image guidance and rapid prototyping technology  in craniofacial surgery.  Int J Oral Maxillofac Surg 2013;42:970-3.</w:t>
      </w:r>
    </w:p>
    <w:p>
      <w:pPr>
        <w:pStyle w:val="style0"/>
        <w:jc w:val="both"/>
      </w:pPr>
      <w:r>
        <w:rPr>
          <w:sz w:val="24"/>
          <w:szCs w:val="24"/>
          <w:lang w:val="en-US"/>
        </w:rPr>
        <w:t>7.Hanasono MM, Skoracki RJ. Computer-assisted design and rapid prototype modeling in microvascular mandible reconstruction. Laryngoscope 2013;123:597-604.</w:t>
      </w:r>
    </w:p>
    <w:p>
      <w:pPr>
        <w:pStyle w:val="style0"/>
        <w:jc w:val="both"/>
      </w:pPr>
      <w:r>
        <w:rPr>
          <w:sz w:val="24"/>
          <w:szCs w:val="24"/>
          <w:lang w:val="en-US"/>
        </w:rPr>
        <w:t>8.Taft RM, Kondor S, Grant GT.  Accuracy of rapid prototype models for head and neck reconstruction. J Prosthet Dent 2011;106:399-408.</w:t>
      </w:r>
    </w:p>
    <w:p>
      <w:pPr>
        <w:pStyle w:val="style0"/>
        <w:jc w:val="both"/>
      </w:pPr>
      <w:r>
        <w:rPr>
          <w:sz w:val="24"/>
          <w:szCs w:val="24"/>
          <w:lang w:val="en-US"/>
        </w:rPr>
        <w:t>9. Faur C, Crainic N, Sticlaru C. Rapid prototyping technique in the preoperative planning for total hip arthroplasty with custom femoral components. Wien Klin Wochenschr. 2013;125:144-9</w:t>
      </w:r>
    </w:p>
    <w:p>
      <w:pPr>
        <w:pStyle w:val="style0"/>
        <w:jc w:val="both"/>
      </w:pPr>
      <w:r>
        <w:rPr>
          <w:sz w:val="24"/>
          <w:szCs w:val="24"/>
          <w:lang w:val="en-US"/>
        </w:rPr>
        <w:t>10. Wozniac K, Rzepecka-Wozniac E, Moskala A, et al. Weapon identification using antemortem  computed tomography with virtual 3D and rapid prototyped modeling:  a report in a case of blunt force head injury. Forensic Sci Int 2012;222: e29-32.</w:t>
      </w:r>
    </w:p>
    <w:p>
      <w:pPr>
        <w:pStyle w:val="style0"/>
        <w:shd w:fill="FFFFFF" w:val="clear"/>
        <w:spacing w:line="348" w:lineRule="atLeast"/>
        <w:jc w:val="both"/>
      </w:pPr>
      <w:r>
        <w:rPr/>
      </w:r>
    </w:p>
    <w:sectPr>
      <w:type w:val="nextPage"/>
      <w:pgSz w:h="15840" w:w="12240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redeterminad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es-MX" w:val="es-MX"/>
    </w:rPr>
  </w:style>
  <w:style w:styleId="style1" w:type="paragraph">
    <w:name w:val="Encabezado 1"/>
    <w:basedOn w:val="style0"/>
    <w:next w:val="style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  <w:lang w:eastAsia="es-ES" w:val="es-ES"/>
    </w:rPr>
  </w:style>
  <w:style w:styleId="style15" w:type="character">
    <w:name w:val="Default Paragraph Font"/>
    <w:next w:val="style15"/>
    <w:rPr/>
  </w:style>
  <w:style w:styleId="style16" w:type="character">
    <w:name w:val="Título 1 Car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es-ES" w:val="es-ES"/>
    </w:rPr>
  </w:style>
  <w:style w:styleId="style17" w:type="character">
    <w:name w:val="Enlace de Internet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Placeholder Text"/>
    <w:basedOn w:val="style15"/>
    <w:next w:val="style19"/>
    <w:rPr>
      <w:color w:val="808080"/>
    </w:rPr>
  </w:style>
  <w:style w:styleId="style20" w:type="character">
    <w:name w:val="Texto de globo Car"/>
    <w:basedOn w:val="style15"/>
    <w:next w:val="style20"/>
    <w:rPr>
      <w:rFonts w:ascii="Tahoma" w:cs="Tahoma" w:hAnsi="Tahoma"/>
      <w:sz w:val="16"/>
      <w:szCs w:val="16"/>
    </w:rPr>
  </w:style>
  <w:style w:styleId="style21" w:type="character">
    <w:name w:val="ListLabel 1"/>
    <w:next w:val="style21"/>
    <w:rPr>
      <w:rFonts w:cs=""/>
      <w:lang w:val="es-MX"/>
    </w:rPr>
  </w:style>
  <w:style w:styleId="style22" w:type="character">
    <w:name w:val="ListLabel 2"/>
    <w:next w:val="style22"/>
    <w:rPr>
      <w:rFonts w:cs="Courier New"/>
    </w:rPr>
  </w:style>
  <w:style w:styleId="style23" w:type="paragraph">
    <w:name w:val="Encabezado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Cuerpo de texto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Etiqueta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Mangal"/>
    </w:rPr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>
      <w:rFonts w:cs="Calibri"/>
      <w:lang w:eastAsia="en-US" w:val="es-AR"/>
    </w:rPr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2013-08-28T14:03:00.00Z</dcterms:created>
  <dc:creator>Victor</dc:creator>
  <cp:lastModifiedBy>Usuario</cp:lastModifiedBy>
  <dcterms:modified xsi:type="dcterms:W3CDTF">2013-12-15T21:01:00.00Z</dcterms:modified>
  <cp:revision>101</cp:revision>
</cp:coreProperties>
</file>