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7579" w:rsidRDefault="00E37579" w:rsidP="00EB2ADC">
      <w:pPr>
        <w:pStyle w:val="Predeterminado"/>
        <w:spacing w:line="360" w:lineRule="auto"/>
        <w:jc w:val="both"/>
        <w:rPr>
          <w:rFonts w:hAnsi="Times New Roman"/>
          <w:lang w:val="es-AR"/>
        </w:rPr>
      </w:pPr>
      <w:r>
        <w:rPr>
          <w:rFonts w:hAnsi="Times New Roman"/>
          <w:b/>
          <w:lang w:val="es-AR"/>
        </w:rPr>
        <w:t>Título:</w:t>
      </w:r>
      <w:r w:rsidR="003D324A">
        <w:rPr>
          <w:rFonts w:hAnsi="Times New Roman"/>
          <w:b/>
          <w:lang w:val="es-AR"/>
        </w:rPr>
        <w:t xml:space="preserve"> </w:t>
      </w:r>
      <w:r w:rsidR="003D324A" w:rsidRPr="003D324A">
        <w:rPr>
          <w:rFonts w:hAnsi="Times New Roman"/>
          <w:lang w:val="es-AR"/>
        </w:rPr>
        <w:t xml:space="preserve">Tecnología, </w:t>
      </w:r>
      <w:r w:rsidR="003D324A">
        <w:rPr>
          <w:rFonts w:hAnsi="Times New Roman"/>
          <w:lang w:val="es-AR"/>
        </w:rPr>
        <w:t>políticas de Estado y modelo de país: e</w:t>
      </w:r>
      <w:r w:rsidR="00EC0550">
        <w:rPr>
          <w:rFonts w:hAnsi="Times New Roman"/>
          <w:lang w:val="es-AR"/>
        </w:rPr>
        <w:t>l caso AR</w:t>
      </w:r>
      <w:r w:rsidR="003D324A">
        <w:rPr>
          <w:rFonts w:hAnsi="Times New Roman"/>
          <w:lang w:val="es-AR"/>
        </w:rPr>
        <w:t xml:space="preserve">SAT, los satélites geoestacionarios versus “los cielos abiertos” </w:t>
      </w:r>
    </w:p>
    <w:p w:rsidR="00E37579" w:rsidRPr="00396D39" w:rsidRDefault="00E37579" w:rsidP="00EB2ADC">
      <w:pPr>
        <w:pStyle w:val="Predeterminado"/>
        <w:spacing w:line="360" w:lineRule="auto"/>
        <w:jc w:val="both"/>
        <w:rPr>
          <w:rFonts w:hAnsi="Times New Roman"/>
          <w:lang w:val="es-AR"/>
        </w:rPr>
      </w:pPr>
      <w:r>
        <w:rPr>
          <w:rFonts w:hAnsi="Times New Roman"/>
          <w:b/>
          <w:lang w:val="es-AR"/>
        </w:rPr>
        <w:t xml:space="preserve">Autores: </w:t>
      </w:r>
      <w:bookmarkStart w:id="0" w:name="_GoBack"/>
      <w:bookmarkEnd w:id="0"/>
    </w:p>
    <w:p w:rsidR="00E37579" w:rsidRDefault="00E37579" w:rsidP="002C7362">
      <w:pPr>
        <w:pStyle w:val="Predeterminado"/>
        <w:spacing w:line="360" w:lineRule="auto"/>
        <w:jc w:val="both"/>
        <w:rPr>
          <w:rFonts w:hAnsi="Times New Roman"/>
          <w:b/>
          <w:lang w:val="es-AR"/>
        </w:rPr>
      </w:pPr>
      <w:r w:rsidRPr="00883D9D">
        <w:rPr>
          <w:rFonts w:hAnsi="Times New Roman"/>
          <w:b/>
          <w:lang w:val="es-AR"/>
        </w:rPr>
        <w:t>Resumen</w:t>
      </w:r>
    </w:p>
    <w:p w:rsidR="00E37579" w:rsidRDefault="00E37579" w:rsidP="002C7362">
      <w:pPr>
        <w:pStyle w:val="Predeterminado"/>
        <w:spacing w:line="360" w:lineRule="auto"/>
        <w:jc w:val="both"/>
        <w:rPr>
          <w:rFonts w:hAnsi="Times New Roman"/>
          <w:lang w:val="es-AR"/>
        </w:rPr>
      </w:pPr>
      <w:r>
        <w:rPr>
          <w:rFonts w:hAnsi="Times New Roman"/>
          <w:lang w:val="es-AR"/>
        </w:rPr>
        <w:t xml:space="preserve">Este artículo se estructura sobre la idea de que la política científica y tecnológica es una política de Estado cuyo </w:t>
      </w:r>
      <w:r w:rsidRPr="00873B76">
        <w:rPr>
          <w:rFonts w:hAnsi="Times New Roman"/>
          <w:i/>
          <w:lang w:val="es-AR"/>
        </w:rPr>
        <w:t>telos</w:t>
      </w:r>
      <w:r>
        <w:rPr>
          <w:rFonts w:hAnsi="Times New Roman"/>
          <w:lang w:val="es-AR"/>
        </w:rPr>
        <w:t xml:space="preserve"> últ</w:t>
      </w:r>
      <w:r w:rsidR="00390249">
        <w:rPr>
          <w:rFonts w:hAnsi="Times New Roman"/>
          <w:lang w:val="es-AR"/>
        </w:rPr>
        <w:t>imo es el bienestar de todos los</w:t>
      </w:r>
      <w:r>
        <w:rPr>
          <w:rFonts w:hAnsi="Times New Roman"/>
          <w:lang w:val="es-AR"/>
        </w:rPr>
        <w:t xml:space="preserve"> ciudadanos</w:t>
      </w:r>
      <w:r w:rsidR="00390249">
        <w:rPr>
          <w:rFonts w:hAnsi="Times New Roman"/>
          <w:lang w:val="es-AR"/>
        </w:rPr>
        <w:t xml:space="preserve"> de un país</w:t>
      </w:r>
      <w:r>
        <w:rPr>
          <w:rFonts w:hAnsi="Times New Roman"/>
          <w:lang w:val="es-AR"/>
        </w:rPr>
        <w:t xml:space="preserve">. </w:t>
      </w:r>
      <w:r w:rsidR="001F703B">
        <w:rPr>
          <w:rFonts w:hAnsi="Times New Roman"/>
          <w:lang w:val="es-AR"/>
        </w:rPr>
        <w:t xml:space="preserve">Sobre esta premisa deben evaluarse esas políticas. </w:t>
      </w:r>
      <w:r>
        <w:rPr>
          <w:rFonts w:hAnsi="Times New Roman"/>
          <w:lang w:val="es-AR"/>
        </w:rPr>
        <w:t>En particular, analiza un caso de desarrollo tecnológico</w:t>
      </w:r>
      <w:r w:rsidR="001F703B">
        <w:rPr>
          <w:rFonts w:hAnsi="Times New Roman"/>
          <w:lang w:val="es-AR"/>
        </w:rPr>
        <w:t xml:space="preserve"> relevante para el país</w:t>
      </w:r>
      <w:r>
        <w:rPr>
          <w:rFonts w:hAnsi="Times New Roman"/>
          <w:lang w:val="es-AR"/>
        </w:rPr>
        <w:t>: los satélites geoestacionarios, una política de Estado que quedó trunca. Este trabajo está organizado de la siguiente manera: en primer lugar se caracteriza qué es una política de Estado en ciencia</w:t>
      </w:r>
      <w:r w:rsidR="004B3139">
        <w:rPr>
          <w:rFonts w:hAnsi="Times New Roman"/>
          <w:lang w:val="es-AR"/>
        </w:rPr>
        <w:t>,</w:t>
      </w:r>
      <w:r>
        <w:rPr>
          <w:rFonts w:hAnsi="Times New Roman"/>
          <w:lang w:val="es-AR"/>
        </w:rPr>
        <w:t xml:space="preserve"> tecnología</w:t>
      </w:r>
      <w:r w:rsidR="004B3139">
        <w:rPr>
          <w:rFonts w:hAnsi="Times New Roman"/>
          <w:lang w:val="es-AR"/>
        </w:rPr>
        <w:t xml:space="preserve"> e innovación</w:t>
      </w:r>
      <w:r>
        <w:rPr>
          <w:rFonts w:hAnsi="Times New Roman"/>
          <w:lang w:val="es-AR"/>
        </w:rPr>
        <w:t xml:space="preserve">; en segundo lugar, se señala la importancia insustituible de la presencia del Estado como motor y articulador de la política científica y tecnológica; en tercer lugar se diagnostica la complejidad interna del fenómeno tecnológico y cómo esta complejidad demanda una política pública en condiciones de convertirse en política de </w:t>
      </w:r>
      <w:r w:rsidR="001F703B">
        <w:rPr>
          <w:rFonts w:hAnsi="Times New Roman"/>
          <w:lang w:val="es-AR"/>
        </w:rPr>
        <w:t xml:space="preserve">Estado en países como el nuestro; </w:t>
      </w:r>
      <w:r>
        <w:rPr>
          <w:rFonts w:hAnsi="Times New Roman"/>
          <w:lang w:val="es-AR"/>
        </w:rPr>
        <w:t xml:space="preserve">en cuarto lugar, es presentado y analizado el caso ARSAT; finalmente, se presentan unas conclusiones sobre la naturaleza de los desafíos futuros y las condiciones bajos las cuales deben ser abordados.   </w:t>
      </w:r>
    </w:p>
    <w:p w:rsidR="00E37579" w:rsidRPr="00873B76" w:rsidRDefault="00E37579" w:rsidP="002C7362">
      <w:pPr>
        <w:pStyle w:val="Predeterminado"/>
        <w:spacing w:line="360" w:lineRule="auto"/>
        <w:jc w:val="both"/>
        <w:rPr>
          <w:rFonts w:hAnsi="Times New Roman"/>
          <w:lang w:val="es-AR"/>
        </w:rPr>
      </w:pPr>
    </w:p>
    <w:p w:rsidR="00E37579" w:rsidRDefault="00E37579" w:rsidP="002C7362">
      <w:pPr>
        <w:pStyle w:val="Predeterminado"/>
        <w:spacing w:line="360" w:lineRule="auto"/>
        <w:jc w:val="both"/>
        <w:rPr>
          <w:rFonts w:hAnsi="Times New Roman"/>
          <w:lang w:val="es-AR"/>
        </w:rPr>
      </w:pPr>
      <w:r w:rsidRPr="0082497C">
        <w:rPr>
          <w:rFonts w:hAnsi="Times New Roman"/>
          <w:b/>
          <w:lang w:val="es-AR"/>
        </w:rPr>
        <w:t>Palabras clave</w:t>
      </w:r>
      <w:r>
        <w:rPr>
          <w:rFonts w:hAnsi="Times New Roman"/>
          <w:lang w:val="es-AR"/>
        </w:rPr>
        <w:t xml:space="preserve">: </w:t>
      </w:r>
      <w:r w:rsidRPr="0082497C">
        <w:rPr>
          <w:rFonts w:hAnsi="Times New Roman"/>
          <w:i/>
          <w:lang w:val="es-AR"/>
        </w:rPr>
        <w:t>TECNOLOGÍA, POLÍTICAS DE ES</w:t>
      </w:r>
      <w:r w:rsidR="001F703B">
        <w:rPr>
          <w:rFonts w:hAnsi="Times New Roman"/>
          <w:i/>
          <w:lang w:val="es-AR"/>
        </w:rPr>
        <w:t>TADO, SATÉLITES GEOESTACIONARIO</w:t>
      </w:r>
      <w:r w:rsidR="00CB197F">
        <w:rPr>
          <w:rFonts w:hAnsi="Times New Roman"/>
          <w:i/>
          <w:lang w:val="es-AR"/>
        </w:rPr>
        <w:t>S</w:t>
      </w:r>
      <w:r w:rsidR="001F703B">
        <w:rPr>
          <w:rFonts w:hAnsi="Times New Roman"/>
          <w:i/>
          <w:lang w:val="es-AR"/>
        </w:rPr>
        <w:t>, ARSAT</w:t>
      </w:r>
      <w:r w:rsidR="004B3139">
        <w:rPr>
          <w:rFonts w:hAnsi="Times New Roman"/>
          <w:i/>
          <w:lang w:val="es-AR"/>
        </w:rPr>
        <w:t>, BIENESTAR CIUDADANO</w:t>
      </w:r>
    </w:p>
    <w:p w:rsidR="00E37579" w:rsidRDefault="00E37579" w:rsidP="002C7362">
      <w:pPr>
        <w:pStyle w:val="Predeterminado"/>
        <w:spacing w:line="360" w:lineRule="auto"/>
        <w:jc w:val="both"/>
        <w:rPr>
          <w:rFonts w:hAnsi="Times New Roman"/>
          <w:b/>
          <w:lang w:val="en-US"/>
        </w:rPr>
      </w:pPr>
      <w:r>
        <w:rPr>
          <w:rFonts w:hAnsi="Times New Roman"/>
          <w:b/>
          <w:lang w:val="en-US"/>
        </w:rPr>
        <w:t xml:space="preserve">Abstract </w:t>
      </w:r>
    </w:p>
    <w:p w:rsidR="003D324A" w:rsidRPr="003D324A" w:rsidRDefault="001F703B" w:rsidP="002C7362">
      <w:pPr>
        <w:pStyle w:val="Predeterminado"/>
        <w:spacing w:line="360" w:lineRule="auto"/>
        <w:jc w:val="both"/>
        <w:rPr>
          <w:rFonts w:hAnsi="Times New Roman"/>
          <w:lang w:val="en-US"/>
        </w:rPr>
      </w:pPr>
      <w:r w:rsidRPr="001F703B">
        <w:rPr>
          <w:rFonts w:hAnsi="Times New Roman"/>
          <w:lang w:val="en-US"/>
        </w:rPr>
        <w:t xml:space="preserve">This article is structured </w:t>
      </w:r>
      <w:r>
        <w:rPr>
          <w:rFonts w:hAnsi="Times New Roman"/>
          <w:lang w:val="en-US"/>
        </w:rPr>
        <w:t xml:space="preserve">following this idea: a </w:t>
      </w:r>
      <w:r w:rsidRPr="001F703B">
        <w:rPr>
          <w:rFonts w:hAnsi="Times New Roman"/>
          <w:lang w:val="en-US"/>
        </w:rPr>
        <w:t>scientific and technological policy is</w:t>
      </w:r>
      <w:r>
        <w:rPr>
          <w:rFonts w:hAnsi="Times New Roman"/>
          <w:lang w:val="en-US"/>
        </w:rPr>
        <w:t xml:space="preserve"> a State policy whose main target</w:t>
      </w:r>
      <w:r w:rsidRPr="001F703B">
        <w:rPr>
          <w:rFonts w:hAnsi="Times New Roman"/>
          <w:lang w:val="en-US"/>
        </w:rPr>
        <w:t xml:space="preserve"> is the welfare of all the citizens of a country. </w:t>
      </w:r>
      <w:r>
        <w:rPr>
          <w:rFonts w:hAnsi="Times New Roman"/>
          <w:lang w:val="en-US"/>
        </w:rPr>
        <w:t xml:space="preserve">These policies must be evaluated on this premise. </w:t>
      </w:r>
      <w:r w:rsidRPr="001F703B">
        <w:rPr>
          <w:rFonts w:hAnsi="Times New Roman"/>
          <w:lang w:val="en-US"/>
        </w:rPr>
        <w:t>In particular, it analyzes a case of technolog</w:t>
      </w:r>
      <w:r>
        <w:rPr>
          <w:rFonts w:hAnsi="Times New Roman"/>
          <w:lang w:val="en-US"/>
        </w:rPr>
        <w:t>ical development relevant to</w:t>
      </w:r>
      <w:r w:rsidR="000837AD">
        <w:rPr>
          <w:rFonts w:hAnsi="Times New Roman"/>
          <w:lang w:val="en-US"/>
        </w:rPr>
        <w:t xml:space="preserve"> Argentina</w:t>
      </w:r>
      <w:r w:rsidRPr="001F703B">
        <w:rPr>
          <w:rFonts w:hAnsi="Times New Roman"/>
          <w:lang w:val="en-US"/>
        </w:rPr>
        <w:t>: t</w:t>
      </w:r>
      <w:r>
        <w:rPr>
          <w:rFonts w:hAnsi="Times New Roman"/>
          <w:lang w:val="en-US"/>
        </w:rPr>
        <w:t>he geostationary satellites, a S</w:t>
      </w:r>
      <w:r w:rsidRPr="001F703B">
        <w:rPr>
          <w:rFonts w:hAnsi="Times New Roman"/>
          <w:lang w:val="en-US"/>
        </w:rPr>
        <w:t xml:space="preserve">tate policy that </w:t>
      </w:r>
      <w:r>
        <w:rPr>
          <w:rFonts w:hAnsi="Times New Roman"/>
          <w:lang w:val="en-US"/>
        </w:rPr>
        <w:t xml:space="preserve">remains </w:t>
      </w:r>
      <w:r w:rsidRPr="001F703B">
        <w:rPr>
          <w:rFonts w:hAnsi="Times New Roman"/>
          <w:lang w:val="en-US"/>
        </w:rPr>
        <w:t>truncated. This work is organized as follows: first</w:t>
      </w:r>
      <w:r w:rsidR="004B3139">
        <w:rPr>
          <w:rFonts w:hAnsi="Times New Roman"/>
          <w:lang w:val="en-US"/>
        </w:rPr>
        <w:t>ly</w:t>
      </w:r>
      <w:r w:rsidRPr="001F703B">
        <w:rPr>
          <w:rFonts w:hAnsi="Times New Roman"/>
          <w:lang w:val="en-US"/>
        </w:rPr>
        <w:t xml:space="preserve">, </w:t>
      </w:r>
      <w:r w:rsidR="004B3139">
        <w:rPr>
          <w:rFonts w:hAnsi="Times New Roman"/>
          <w:lang w:val="en-US"/>
        </w:rPr>
        <w:t>it characterizes what is a S</w:t>
      </w:r>
      <w:r w:rsidRPr="001F703B">
        <w:rPr>
          <w:rFonts w:hAnsi="Times New Roman"/>
          <w:lang w:val="en-US"/>
        </w:rPr>
        <w:t xml:space="preserve">tate policy </w:t>
      </w:r>
      <w:r w:rsidR="004B3139">
        <w:rPr>
          <w:rFonts w:hAnsi="Times New Roman"/>
          <w:lang w:val="en-US"/>
        </w:rPr>
        <w:t>concerning science,</w:t>
      </w:r>
      <w:r w:rsidRPr="001F703B">
        <w:rPr>
          <w:rFonts w:hAnsi="Times New Roman"/>
          <w:lang w:val="en-US"/>
        </w:rPr>
        <w:t xml:space="preserve"> technology </w:t>
      </w:r>
      <w:r w:rsidR="004B3139">
        <w:rPr>
          <w:rFonts w:hAnsi="Times New Roman"/>
          <w:lang w:val="en-US"/>
        </w:rPr>
        <w:t>and innovation</w:t>
      </w:r>
      <w:r w:rsidR="000837AD">
        <w:rPr>
          <w:rFonts w:hAnsi="Times New Roman"/>
          <w:lang w:val="en-US"/>
        </w:rPr>
        <w:t>. S</w:t>
      </w:r>
      <w:r w:rsidRPr="001F703B">
        <w:rPr>
          <w:rFonts w:hAnsi="Times New Roman"/>
          <w:lang w:val="en-US"/>
        </w:rPr>
        <w:t>econdly, the irreplaceable importance of the presence of the State as motor and articulator of the scientific and tech</w:t>
      </w:r>
      <w:r w:rsidR="000837AD">
        <w:rPr>
          <w:rFonts w:hAnsi="Times New Roman"/>
          <w:lang w:val="en-US"/>
        </w:rPr>
        <w:t>nological policy is pointed out. T</w:t>
      </w:r>
      <w:r w:rsidRPr="001F703B">
        <w:rPr>
          <w:rFonts w:hAnsi="Times New Roman"/>
          <w:lang w:val="en-US"/>
        </w:rPr>
        <w:t>hirdly, the internal complexity of the technological phenomenon is diagnosed</w:t>
      </w:r>
      <w:r w:rsidR="000837AD">
        <w:rPr>
          <w:rFonts w:hAnsi="Times New Roman"/>
          <w:lang w:val="en-US"/>
        </w:rPr>
        <w:t>; besides it shows how</w:t>
      </w:r>
      <w:r w:rsidRPr="001F703B">
        <w:rPr>
          <w:rFonts w:hAnsi="Times New Roman"/>
          <w:lang w:val="en-US"/>
        </w:rPr>
        <w:t xml:space="preserve"> this complexity demands a public </w:t>
      </w:r>
      <w:r w:rsidR="000837AD">
        <w:rPr>
          <w:rFonts w:hAnsi="Times New Roman"/>
          <w:lang w:val="en-US"/>
        </w:rPr>
        <w:t>policy in conditions to become S</w:t>
      </w:r>
      <w:r w:rsidRPr="001F703B">
        <w:rPr>
          <w:rFonts w:hAnsi="Times New Roman"/>
          <w:lang w:val="en-US"/>
        </w:rPr>
        <w:t>ta</w:t>
      </w:r>
      <w:r w:rsidR="000837AD">
        <w:rPr>
          <w:rFonts w:hAnsi="Times New Roman"/>
          <w:lang w:val="en-US"/>
        </w:rPr>
        <w:t>te policy in countries like Argentina.</w:t>
      </w:r>
      <w:r w:rsidRPr="001F703B">
        <w:rPr>
          <w:rFonts w:hAnsi="Times New Roman"/>
          <w:lang w:val="en-US"/>
        </w:rPr>
        <w:t xml:space="preserve"> Fourth</w:t>
      </w:r>
      <w:r w:rsidR="000837AD">
        <w:rPr>
          <w:rFonts w:hAnsi="Times New Roman"/>
          <w:lang w:val="en-US"/>
        </w:rPr>
        <w:t>ly</w:t>
      </w:r>
      <w:r w:rsidRPr="001F703B">
        <w:rPr>
          <w:rFonts w:hAnsi="Times New Roman"/>
          <w:lang w:val="en-US"/>
        </w:rPr>
        <w:t>, the ARSAT</w:t>
      </w:r>
      <w:r w:rsidR="000837AD">
        <w:rPr>
          <w:rFonts w:hAnsi="Times New Roman"/>
          <w:lang w:val="en-US"/>
        </w:rPr>
        <w:t xml:space="preserve"> case is presented and analyzed.</w:t>
      </w:r>
      <w:r w:rsidRPr="001F703B">
        <w:rPr>
          <w:rFonts w:hAnsi="Times New Roman"/>
          <w:lang w:val="en-US"/>
        </w:rPr>
        <w:t xml:space="preserve"> Finally, </w:t>
      </w:r>
      <w:r w:rsidR="00FF3444">
        <w:rPr>
          <w:rFonts w:hAnsi="Times New Roman"/>
          <w:lang w:val="en-US"/>
        </w:rPr>
        <w:t xml:space="preserve">it presents </w:t>
      </w:r>
      <w:r w:rsidRPr="001F703B">
        <w:rPr>
          <w:rFonts w:hAnsi="Times New Roman"/>
          <w:lang w:val="en-US"/>
        </w:rPr>
        <w:t xml:space="preserve">some conclusions </w:t>
      </w:r>
      <w:r w:rsidR="00FF3444">
        <w:rPr>
          <w:rFonts w:hAnsi="Times New Roman"/>
          <w:lang w:val="en-US"/>
        </w:rPr>
        <w:t xml:space="preserve">about </w:t>
      </w:r>
      <w:r w:rsidRPr="001F703B">
        <w:rPr>
          <w:rFonts w:hAnsi="Times New Roman"/>
          <w:lang w:val="en-US"/>
        </w:rPr>
        <w:t>future challenges</w:t>
      </w:r>
      <w:r w:rsidR="00A418D7">
        <w:rPr>
          <w:rFonts w:hAnsi="Times New Roman"/>
          <w:lang w:val="en-US"/>
        </w:rPr>
        <w:t xml:space="preserve">, and some conditions which must be addressed are pointed out. </w:t>
      </w:r>
    </w:p>
    <w:p w:rsidR="00E37579" w:rsidRPr="0082497C" w:rsidRDefault="00E37579" w:rsidP="002C7362">
      <w:pPr>
        <w:pStyle w:val="Predeterminado"/>
        <w:spacing w:line="360" w:lineRule="auto"/>
        <w:jc w:val="both"/>
        <w:rPr>
          <w:rFonts w:hAnsi="Times New Roman"/>
          <w:b/>
          <w:lang w:val="en-US"/>
        </w:rPr>
      </w:pPr>
      <w:r w:rsidRPr="0082497C">
        <w:rPr>
          <w:rFonts w:hAnsi="Times New Roman"/>
          <w:b/>
          <w:lang w:val="en-US"/>
        </w:rPr>
        <w:t>Key words:</w:t>
      </w:r>
      <w:r>
        <w:rPr>
          <w:rFonts w:hAnsi="Times New Roman"/>
          <w:lang w:val="en-US"/>
        </w:rPr>
        <w:t xml:space="preserve"> T</w:t>
      </w:r>
      <w:r w:rsidRPr="0082497C">
        <w:rPr>
          <w:rFonts w:hAnsi="Times New Roman"/>
          <w:lang w:val="en-US"/>
        </w:rPr>
        <w:t xml:space="preserve">ECHONOLOGY, STATE POLICIES, </w:t>
      </w:r>
      <w:r>
        <w:rPr>
          <w:rFonts w:hAnsi="Times New Roman"/>
          <w:lang w:val="en-US"/>
        </w:rPr>
        <w:t>GEOSTATIONARY SATELLITES</w:t>
      </w:r>
      <w:r w:rsidR="001F703B">
        <w:rPr>
          <w:rFonts w:hAnsi="Times New Roman"/>
          <w:lang w:val="en-US"/>
        </w:rPr>
        <w:t>, ARSAT</w:t>
      </w:r>
      <w:r w:rsidR="004B3139">
        <w:rPr>
          <w:rFonts w:hAnsi="Times New Roman"/>
          <w:lang w:val="en-US"/>
        </w:rPr>
        <w:t xml:space="preserve">, </w:t>
      </w:r>
      <w:r w:rsidR="004B3139">
        <w:rPr>
          <w:rFonts w:hAnsi="Times New Roman"/>
          <w:lang w:val="en-US"/>
        </w:rPr>
        <w:lastRenderedPageBreak/>
        <w:t>CITIZEN WELFARE</w:t>
      </w:r>
    </w:p>
    <w:p w:rsidR="00E37579" w:rsidRPr="002C7362" w:rsidRDefault="00E37579" w:rsidP="00EB2ADC">
      <w:pPr>
        <w:pStyle w:val="Predeterminado"/>
        <w:spacing w:line="360" w:lineRule="auto"/>
        <w:jc w:val="both"/>
        <w:rPr>
          <w:rFonts w:hAnsi="Times New Roman"/>
          <w:b/>
          <w:lang w:val="en-US"/>
        </w:rPr>
      </w:pPr>
    </w:p>
    <w:p w:rsidR="00E37579" w:rsidRPr="002C7362" w:rsidRDefault="00E37579" w:rsidP="00EB2ADC">
      <w:pPr>
        <w:pStyle w:val="Predeterminado"/>
        <w:spacing w:line="360" w:lineRule="auto"/>
        <w:jc w:val="both"/>
        <w:rPr>
          <w:rFonts w:hAnsi="Times New Roman"/>
          <w:b/>
          <w:lang w:val="en-US"/>
        </w:rPr>
      </w:pPr>
    </w:p>
    <w:p w:rsidR="00E37579" w:rsidRPr="006E3816" w:rsidRDefault="00E37579" w:rsidP="00EB2ADC">
      <w:pPr>
        <w:pStyle w:val="Predeterminado"/>
        <w:spacing w:line="360" w:lineRule="auto"/>
        <w:jc w:val="both"/>
        <w:rPr>
          <w:rFonts w:hAnsi="Times New Roman"/>
          <w:b/>
          <w:lang w:val="es-AR"/>
        </w:rPr>
      </w:pPr>
      <w:r w:rsidRPr="006E3816">
        <w:rPr>
          <w:rFonts w:hAnsi="Times New Roman"/>
          <w:b/>
          <w:lang w:val="es-AR"/>
        </w:rPr>
        <w:t>Introducción</w:t>
      </w:r>
    </w:p>
    <w:p w:rsidR="00E37579" w:rsidRDefault="00E37579" w:rsidP="00EB2ADC">
      <w:pPr>
        <w:pStyle w:val="Predeterminado"/>
        <w:spacing w:line="360" w:lineRule="auto"/>
        <w:jc w:val="both"/>
        <w:rPr>
          <w:rFonts w:hAnsi="Times New Roman"/>
          <w:lang w:val="es-AR"/>
        </w:rPr>
      </w:pPr>
      <w:r w:rsidRPr="00CB197F">
        <w:rPr>
          <w:rFonts w:hAnsi="Times New Roman"/>
          <w:lang w:val="es-AR"/>
        </w:rPr>
        <w:t>Es un lugar común de l</w:t>
      </w:r>
      <w:r>
        <w:rPr>
          <w:rFonts w:hAnsi="Times New Roman"/>
          <w:lang w:val="es-AR"/>
        </w:rPr>
        <w:t>as últimas décadas señalar que el conocimiento científico y los desarrollos tecnológicos constituyen una fuente clave del bienestar de las sociedades actuales (</w:t>
      </w:r>
      <w:proofErr w:type="spellStart"/>
      <w:r>
        <w:rPr>
          <w:rFonts w:hAnsi="Times New Roman"/>
          <w:lang w:val="es-AR"/>
        </w:rPr>
        <w:t>Sakaiya</w:t>
      </w:r>
      <w:proofErr w:type="spellEnd"/>
      <w:r>
        <w:rPr>
          <w:rFonts w:hAnsi="Times New Roman"/>
          <w:lang w:val="es-AR"/>
        </w:rPr>
        <w:t>, 1995). Este hecho tiene implicancias políticas, económicas, culturales y sociales. Sin embargo, las políticas científicas y tecnológicas, que naturalmente tienen por objeto la producción de conocimientos científicos y desarrollos tecnológicos, no necesariamente son percibidas por los gobiernos como políticas prioritarias (</w:t>
      </w:r>
      <w:proofErr w:type="spellStart"/>
      <w:r>
        <w:rPr>
          <w:rFonts w:hAnsi="Times New Roman"/>
          <w:lang w:val="es-AR"/>
        </w:rPr>
        <w:t>Mazzucato</w:t>
      </w:r>
      <w:proofErr w:type="spellEnd"/>
      <w:r>
        <w:rPr>
          <w:rFonts w:hAnsi="Times New Roman"/>
          <w:lang w:val="es-AR"/>
        </w:rPr>
        <w:t>, 2013). Los gobiernos de países en desarrollo suelen reconocer discursivamente la ciencia y la tecnología como motores primarios del desarrollo socioeconómico, pero no concretan ese reconocimiento en políticas de Estado en ciencia y tecnología. Esto es especialmente cierto de algunos gobiernos de la región latinoamericana que aplican programas de cuño neoliberal.</w:t>
      </w:r>
      <w:r>
        <w:rPr>
          <w:rStyle w:val="Refdenotaalpie"/>
          <w:rFonts w:hAnsi="Times New Roman"/>
          <w:lang w:val="es-AR"/>
        </w:rPr>
        <w:footnoteReference w:id="1"/>
      </w:r>
      <w:r>
        <w:rPr>
          <w:rFonts w:hAnsi="Times New Roman"/>
          <w:lang w:val="es-AR"/>
        </w:rPr>
        <w:t xml:space="preserve"> </w:t>
      </w:r>
    </w:p>
    <w:p w:rsidR="00E37579" w:rsidRDefault="00E37579" w:rsidP="00EB2ADC">
      <w:pPr>
        <w:pStyle w:val="Predeterminado"/>
        <w:spacing w:line="360" w:lineRule="auto"/>
        <w:jc w:val="both"/>
        <w:rPr>
          <w:rFonts w:hAnsi="Times New Roman"/>
          <w:lang w:val="es-AR"/>
        </w:rPr>
      </w:pPr>
      <w:r>
        <w:rPr>
          <w:rFonts w:hAnsi="Times New Roman"/>
          <w:lang w:val="es-AR"/>
        </w:rPr>
        <w:t xml:space="preserve">En este artículo nos proponemos reflexionar sobre esta situación y mostrar un ejemplo de desmantelamiento de una política de Estado que en su núcleo incluye metas importantes de </w:t>
      </w:r>
      <w:r w:rsidRPr="00C95E16">
        <w:rPr>
          <w:rFonts w:hAnsi="Times New Roman"/>
          <w:szCs w:val="24"/>
          <w:lang w:val="es-ES"/>
        </w:rPr>
        <w:t>investigación, desarrollo e innovación</w:t>
      </w:r>
      <w:r>
        <w:rPr>
          <w:rFonts w:hAnsi="Times New Roman"/>
          <w:lang w:val="es-AR"/>
        </w:rPr>
        <w:t xml:space="preserve"> (</w:t>
      </w:r>
      <w:proofErr w:type="spellStart"/>
      <w:r>
        <w:rPr>
          <w:rFonts w:hAnsi="Times New Roman"/>
          <w:lang w:val="es-AR"/>
        </w:rPr>
        <w:t>I+D+i</w:t>
      </w:r>
      <w:proofErr w:type="spellEnd"/>
      <w:r>
        <w:rPr>
          <w:rFonts w:hAnsi="Times New Roman"/>
          <w:lang w:val="es-AR"/>
        </w:rPr>
        <w:t>) –es decir, que supone un componente de política en ciencia y tecnología– en un sector considerado estratégico por las economías centrales. En primer lugar, caracterizamos qué entendemos por una política de Estado en ciencia y tecnología. En segundo lugar, señalamos por qué es insustituible la presencia del Estado como motor y articulador de la política científica y tecnológica. En tercer lugar nos centramos en la tecnología con el propósito de desplegar una mirada sobre el fenómeno tecnológico. La complejidad intrínseca misma de la tecnología y la debilidad histórica que muestran los países de la región, incluido Argentina, en el acceso a las tecnologías relevantes demanda una política pública que adquiera el estatuto de una política de Estado. En cuarto lugar nos focalizamos en el caso ARSAT, como política de Estado en comunicaciones satelitales que incluyó como meta el diseño y construcción de satélites geoestacionarios nacionales, componente crucial que puede considerarse una política de Estado en ciencia y tecnología orientada a objetivos.</w:t>
      </w:r>
      <w:r>
        <w:rPr>
          <w:rStyle w:val="Refdenotaalpie"/>
          <w:rFonts w:hAnsi="Times New Roman"/>
          <w:lang w:val="es-AR"/>
        </w:rPr>
        <w:footnoteReference w:id="2"/>
      </w:r>
      <w:r>
        <w:rPr>
          <w:rFonts w:hAnsi="Times New Roman"/>
          <w:lang w:val="es-AR"/>
        </w:rPr>
        <w:t xml:space="preserve"> Finalmente, presentamos unas conclusiones que recogen </w:t>
      </w:r>
      <w:r>
        <w:rPr>
          <w:rFonts w:hAnsi="Times New Roman"/>
          <w:lang w:val="es-AR"/>
        </w:rPr>
        <w:lastRenderedPageBreak/>
        <w:t xml:space="preserve">los profundos obstáculos que se presentan en el escenario futuro. </w:t>
      </w:r>
    </w:p>
    <w:p w:rsidR="00E37579" w:rsidRDefault="00E37579" w:rsidP="00EB2ADC">
      <w:pPr>
        <w:pStyle w:val="Predeterminado"/>
        <w:spacing w:line="360" w:lineRule="auto"/>
        <w:jc w:val="both"/>
        <w:rPr>
          <w:rFonts w:hAnsi="Times New Roman"/>
          <w:lang w:val="es-AR"/>
        </w:rPr>
      </w:pPr>
      <w:r>
        <w:rPr>
          <w:rFonts w:hAnsi="Times New Roman"/>
          <w:b/>
          <w:lang w:val="es-AR"/>
        </w:rPr>
        <w:t xml:space="preserve">Políticas públicas y políticas de Estado: la política científica y tecnológica. </w:t>
      </w:r>
    </w:p>
    <w:p w:rsidR="00E37579" w:rsidRPr="002B33BC" w:rsidRDefault="00E37579" w:rsidP="00EB2ADC">
      <w:pPr>
        <w:pStyle w:val="Predeterminado"/>
        <w:spacing w:line="360" w:lineRule="auto"/>
        <w:jc w:val="both"/>
        <w:rPr>
          <w:rFonts w:hAnsi="Times New Roman"/>
          <w:lang w:val="es-AR"/>
        </w:rPr>
      </w:pPr>
      <w:r>
        <w:rPr>
          <w:rFonts w:hAnsi="Times New Roman"/>
          <w:lang w:val="es-AR"/>
        </w:rPr>
        <w:t>N</w:t>
      </w:r>
      <w:r w:rsidRPr="002B33BC">
        <w:rPr>
          <w:rFonts w:hAnsi="Times New Roman"/>
          <w:lang w:val="es-AR"/>
        </w:rPr>
        <w:t xml:space="preserve">o todas las políticas públicas son </w:t>
      </w:r>
      <w:r>
        <w:rPr>
          <w:rFonts w:hAnsi="Times New Roman"/>
          <w:lang w:val="es-AR"/>
        </w:rPr>
        <w:t>políticas de Estado</w:t>
      </w:r>
      <w:r w:rsidRPr="002B33BC">
        <w:rPr>
          <w:rFonts w:hAnsi="Times New Roman"/>
          <w:lang w:val="es-AR"/>
        </w:rPr>
        <w:t xml:space="preserve">. Por ejemplo, una política de vivienda </w:t>
      </w:r>
      <w:r w:rsidRPr="00CE60EA">
        <w:rPr>
          <w:rFonts w:hAnsi="Times New Roman"/>
          <w:lang w:val="es-AR"/>
        </w:rPr>
        <w:t>impulsada</w:t>
      </w:r>
      <w:r w:rsidRPr="002B33BC">
        <w:rPr>
          <w:rFonts w:hAnsi="Times New Roman"/>
          <w:lang w:val="es-AR"/>
        </w:rPr>
        <w:t xml:space="preserve"> </w:t>
      </w:r>
      <w:r>
        <w:rPr>
          <w:rFonts w:hAnsi="Times New Roman"/>
          <w:lang w:val="es-AR"/>
        </w:rPr>
        <w:t xml:space="preserve">e implementada </w:t>
      </w:r>
      <w:r w:rsidRPr="002B33BC">
        <w:rPr>
          <w:rFonts w:hAnsi="Times New Roman"/>
          <w:lang w:val="es-AR"/>
        </w:rPr>
        <w:t>por u</w:t>
      </w:r>
      <w:r>
        <w:rPr>
          <w:rFonts w:hAnsi="Times New Roman"/>
          <w:lang w:val="es-AR"/>
        </w:rPr>
        <w:t>na administración política del E</w:t>
      </w:r>
      <w:r w:rsidRPr="002B33BC">
        <w:rPr>
          <w:rFonts w:hAnsi="Times New Roman"/>
          <w:lang w:val="es-AR"/>
        </w:rPr>
        <w:t>stado durante un período temporal definido es una política pública. En términos generales, se entiende por política p</w:t>
      </w:r>
      <w:r>
        <w:rPr>
          <w:rFonts w:hAnsi="Times New Roman"/>
          <w:lang w:val="es-AR"/>
        </w:rPr>
        <w:t>ública la toma de posición del E</w:t>
      </w:r>
      <w:r w:rsidRPr="002B33BC">
        <w:rPr>
          <w:rFonts w:hAnsi="Times New Roman"/>
          <w:lang w:val="es-AR"/>
        </w:rPr>
        <w:t>stado y la definición de cursos de acción frente a “cuestiones socialme</w:t>
      </w:r>
      <w:r>
        <w:rPr>
          <w:rFonts w:hAnsi="Times New Roman"/>
          <w:lang w:val="es-AR"/>
        </w:rPr>
        <w:t>nte problematizadas” (</w:t>
      </w:r>
      <w:proofErr w:type="spellStart"/>
      <w:r>
        <w:rPr>
          <w:rFonts w:hAnsi="Times New Roman"/>
          <w:lang w:val="es-AR"/>
        </w:rPr>
        <w:t>Oslak</w:t>
      </w:r>
      <w:proofErr w:type="spellEnd"/>
      <w:r>
        <w:rPr>
          <w:rFonts w:hAnsi="Times New Roman"/>
          <w:lang w:val="es-AR"/>
        </w:rPr>
        <w:t xml:space="preserve"> y </w:t>
      </w:r>
      <w:proofErr w:type="spellStart"/>
      <w:r>
        <w:rPr>
          <w:rFonts w:hAnsi="Times New Roman"/>
          <w:lang w:val="es-AR"/>
        </w:rPr>
        <w:t>O’</w:t>
      </w:r>
      <w:r w:rsidRPr="002B33BC">
        <w:rPr>
          <w:rFonts w:hAnsi="Times New Roman"/>
          <w:lang w:val="es-AR"/>
        </w:rPr>
        <w:t>Donnell</w:t>
      </w:r>
      <w:proofErr w:type="spellEnd"/>
      <w:r w:rsidRPr="002B33BC">
        <w:rPr>
          <w:rFonts w:hAnsi="Times New Roman"/>
          <w:lang w:val="es-AR"/>
        </w:rPr>
        <w:t>, 1976</w:t>
      </w:r>
      <w:r>
        <w:rPr>
          <w:rFonts w:hAnsi="Times New Roman"/>
          <w:lang w:val="es-AR"/>
        </w:rPr>
        <w:t xml:space="preserve">; </w:t>
      </w:r>
      <w:proofErr w:type="spellStart"/>
      <w:r>
        <w:rPr>
          <w:rFonts w:hAnsi="Times New Roman"/>
          <w:lang w:val="es-AR"/>
        </w:rPr>
        <w:t>Muller</w:t>
      </w:r>
      <w:proofErr w:type="spellEnd"/>
      <w:r>
        <w:rPr>
          <w:rFonts w:hAnsi="Times New Roman"/>
          <w:lang w:val="es-AR"/>
        </w:rPr>
        <w:t>, 2002</w:t>
      </w:r>
      <w:r w:rsidRPr="002B33BC">
        <w:rPr>
          <w:rFonts w:hAnsi="Times New Roman"/>
          <w:lang w:val="es-AR"/>
        </w:rPr>
        <w:t>), relacionadas con necesidades y demandas que expresan y logran instalar</w:t>
      </w:r>
      <w:r>
        <w:rPr>
          <w:rFonts w:hAnsi="Times New Roman"/>
          <w:lang w:val="es-AR"/>
        </w:rPr>
        <w:t xml:space="preserve"> los miembros de una sociedad en la agenda del E</w:t>
      </w:r>
      <w:r w:rsidRPr="002B33BC">
        <w:rPr>
          <w:rFonts w:hAnsi="Times New Roman"/>
          <w:lang w:val="es-AR"/>
        </w:rPr>
        <w:t>stado. En este sentido, una política públic</w:t>
      </w:r>
      <w:r>
        <w:rPr>
          <w:rFonts w:hAnsi="Times New Roman"/>
          <w:lang w:val="es-AR"/>
        </w:rPr>
        <w:t>a representa el modo en que el E</w:t>
      </w:r>
      <w:r w:rsidRPr="002B33BC">
        <w:rPr>
          <w:rFonts w:hAnsi="Times New Roman"/>
          <w:lang w:val="es-AR"/>
        </w:rPr>
        <w:t>stado se apropia de un tema de la “agenda social problemática”,</w:t>
      </w:r>
      <w:r>
        <w:rPr>
          <w:rStyle w:val="Refdenotaalpie"/>
          <w:rFonts w:hAnsi="Times New Roman"/>
          <w:lang w:val="es-AR"/>
        </w:rPr>
        <w:footnoteReference w:id="3"/>
      </w:r>
      <w:r w:rsidRPr="002B33BC">
        <w:rPr>
          <w:rFonts w:hAnsi="Times New Roman"/>
          <w:lang w:val="es-AR"/>
        </w:rPr>
        <w:t xml:space="preserve"> lo hace suyo destinándole atención y recursos, para convertirlo en un asunto de valor público, esto es, en una cuestión de interés general para el conjunto d</w:t>
      </w:r>
      <w:r>
        <w:rPr>
          <w:rFonts w:hAnsi="Times New Roman"/>
          <w:lang w:val="es-AR"/>
        </w:rPr>
        <w:t>e los miembros de esa sociedad.</w:t>
      </w:r>
      <w:r>
        <w:rPr>
          <w:rStyle w:val="Refdenotaalpie"/>
          <w:rFonts w:hAnsi="Times New Roman"/>
          <w:lang w:val="es-AR"/>
        </w:rPr>
        <w:footnoteReference w:id="4"/>
      </w:r>
      <w:r w:rsidRPr="002B33BC">
        <w:rPr>
          <w:rFonts w:hAnsi="Times New Roman"/>
          <w:lang w:val="es-AR"/>
        </w:rPr>
        <w:t xml:space="preserve"> </w:t>
      </w:r>
    </w:p>
    <w:p w:rsidR="00E37579" w:rsidRPr="002B33BC" w:rsidRDefault="00E37579" w:rsidP="00EB2ADC">
      <w:pPr>
        <w:pStyle w:val="Predeterminado"/>
        <w:spacing w:line="360" w:lineRule="auto"/>
        <w:jc w:val="both"/>
        <w:rPr>
          <w:rFonts w:hAnsi="Times New Roman"/>
          <w:lang w:val="es-AR"/>
        </w:rPr>
      </w:pPr>
      <w:r w:rsidRPr="002B33BC">
        <w:rPr>
          <w:rFonts w:hAnsi="Times New Roman"/>
          <w:lang w:val="es-AR"/>
        </w:rPr>
        <w:tab/>
      </w:r>
      <w:r>
        <w:rPr>
          <w:rFonts w:hAnsi="Times New Roman"/>
          <w:lang w:val="es-AR"/>
        </w:rPr>
        <w:tab/>
      </w:r>
      <w:r>
        <w:rPr>
          <w:rFonts w:hAnsi="Times New Roman"/>
          <w:lang w:val="es-AR"/>
        </w:rPr>
        <w:tab/>
      </w:r>
      <w:r>
        <w:rPr>
          <w:rFonts w:hAnsi="Times New Roman"/>
          <w:lang w:val="es-AR"/>
        </w:rPr>
        <w:tab/>
      </w:r>
      <w:r>
        <w:rPr>
          <w:rFonts w:hAnsi="Times New Roman"/>
          <w:lang w:val="es-AR"/>
        </w:rPr>
        <w:tab/>
      </w:r>
      <w:r>
        <w:rPr>
          <w:rFonts w:hAnsi="Times New Roman"/>
          <w:lang w:val="es-AR"/>
        </w:rPr>
        <w:tab/>
      </w:r>
      <w:r w:rsidRPr="002B33BC">
        <w:rPr>
          <w:rFonts w:hAnsi="Times New Roman"/>
          <w:lang w:val="es-AR"/>
        </w:rPr>
        <w:t>La política pública está vinculada a una cierta interpretación del interés general que promueve una admin</w:t>
      </w:r>
      <w:r>
        <w:rPr>
          <w:rFonts w:hAnsi="Times New Roman"/>
          <w:lang w:val="es-AR"/>
        </w:rPr>
        <w:t>istración del E</w:t>
      </w:r>
      <w:r w:rsidRPr="002B33BC">
        <w:rPr>
          <w:rFonts w:hAnsi="Times New Roman"/>
          <w:lang w:val="es-AR"/>
        </w:rPr>
        <w:t xml:space="preserve">stado; para el caso de una política de vivienda, la satisfacción de las demandas y necesidades habitacionales de un sector, de varios sectores o de todo el conjunto de los miembros de una sociedad. Por supuesto, cualquier política pública tiene un impacto profundo sobre la organización social existente sobre la que se aplica esa política, afectando las condiciones de vida (ingreso, trabajo, oportunidades, etc.) de los miembros de los distintos sectores sociales involucrados. </w:t>
      </w:r>
    </w:p>
    <w:p w:rsidR="00E37579" w:rsidRDefault="00E37579" w:rsidP="00EB2ADC">
      <w:pPr>
        <w:pStyle w:val="Predeterminado"/>
        <w:spacing w:line="360" w:lineRule="auto"/>
        <w:jc w:val="both"/>
        <w:rPr>
          <w:rFonts w:hAnsi="Times New Roman"/>
          <w:lang w:val="es-AR"/>
        </w:rPr>
      </w:pPr>
      <w:r w:rsidRPr="002B33BC">
        <w:rPr>
          <w:rFonts w:hAnsi="Times New Roman"/>
          <w:lang w:val="es-AR"/>
        </w:rPr>
        <w:tab/>
      </w:r>
      <w:r>
        <w:rPr>
          <w:rFonts w:hAnsi="Times New Roman"/>
          <w:lang w:val="es-AR"/>
        </w:rPr>
        <w:tab/>
      </w:r>
      <w:r>
        <w:rPr>
          <w:rFonts w:hAnsi="Times New Roman"/>
          <w:lang w:val="es-AR"/>
        </w:rPr>
        <w:tab/>
      </w:r>
      <w:r w:rsidRPr="002B33BC">
        <w:rPr>
          <w:rFonts w:hAnsi="Times New Roman"/>
          <w:lang w:val="es-AR"/>
        </w:rPr>
        <w:t>Sin embargo, hay política</w:t>
      </w:r>
      <w:r>
        <w:rPr>
          <w:rFonts w:hAnsi="Times New Roman"/>
          <w:lang w:val="es-AR"/>
        </w:rPr>
        <w:t>s</w:t>
      </w:r>
      <w:r w:rsidRPr="002B33BC">
        <w:rPr>
          <w:rFonts w:hAnsi="Times New Roman"/>
          <w:lang w:val="es-AR"/>
        </w:rPr>
        <w:t xml:space="preserve"> públicas que son simultáneamente </w:t>
      </w:r>
      <w:r>
        <w:rPr>
          <w:rFonts w:hAnsi="Times New Roman"/>
          <w:lang w:val="es-AR"/>
        </w:rPr>
        <w:t>políticas de Estado</w:t>
      </w:r>
      <w:r w:rsidRPr="002B33BC">
        <w:rPr>
          <w:rFonts w:hAnsi="Times New Roman"/>
          <w:lang w:val="es-AR"/>
        </w:rPr>
        <w:t xml:space="preserve">. ¿Qué convierte a una política pública en </w:t>
      </w:r>
      <w:r>
        <w:rPr>
          <w:rFonts w:hAnsi="Times New Roman"/>
          <w:lang w:val="es-AR"/>
        </w:rPr>
        <w:t>política de Estado</w:t>
      </w:r>
      <w:r w:rsidRPr="002B33BC">
        <w:rPr>
          <w:rFonts w:hAnsi="Times New Roman"/>
          <w:lang w:val="es-AR"/>
        </w:rPr>
        <w:t xml:space="preserve">? No solamente su continuidad en el tiempo, a través de las </w:t>
      </w:r>
      <w:r>
        <w:rPr>
          <w:rFonts w:hAnsi="Times New Roman"/>
          <w:lang w:val="es-AR"/>
        </w:rPr>
        <w:t>distintas administraciones del E</w:t>
      </w:r>
      <w:r w:rsidRPr="002B33BC">
        <w:rPr>
          <w:rFonts w:hAnsi="Times New Roman"/>
          <w:lang w:val="es-AR"/>
        </w:rPr>
        <w:t>stado; sino que, especialmente, la conversión del interés general en una parte del interés nacional.</w:t>
      </w:r>
      <w:r>
        <w:rPr>
          <w:rStyle w:val="Refdenotaalpie"/>
          <w:rFonts w:hAnsi="Times New Roman"/>
          <w:lang w:val="es-AR"/>
        </w:rPr>
        <w:footnoteReference w:id="5"/>
      </w:r>
      <w:r w:rsidRPr="002B33BC">
        <w:rPr>
          <w:rFonts w:hAnsi="Times New Roman"/>
          <w:lang w:val="es-AR"/>
        </w:rPr>
        <w:t xml:space="preserve"> Esto cambia cualitativamente </w:t>
      </w:r>
      <w:r>
        <w:rPr>
          <w:rFonts w:hAnsi="Times New Roman"/>
          <w:lang w:val="es-AR"/>
        </w:rPr>
        <w:t xml:space="preserve">una </w:t>
      </w:r>
      <w:r w:rsidRPr="002B33BC">
        <w:rPr>
          <w:rFonts w:hAnsi="Times New Roman"/>
          <w:lang w:val="es-AR"/>
        </w:rPr>
        <w:t>política pública, puesto que la sitúa en un escenario</w:t>
      </w:r>
      <w:r>
        <w:rPr>
          <w:rFonts w:hAnsi="Times New Roman"/>
          <w:lang w:val="es-AR"/>
        </w:rPr>
        <w:t xml:space="preserve"> diferente</w:t>
      </w:r>
      <w:r w:rsidRPr="002B33BC">
        <w:rPr>
          <w:rFonts w:hAnsi="Times New Roman"/>
          <w:lang w:val="es-AR"/>
        </w:rPr>
        <w:t xml:space="preserve">, </w:t>
      </w:r>
      <w:r>
        <w:rPr>
          <w:rFonts w:hAnsi="Times New Roman"/>
          <w:lang w:val="es-AR"/>
        </w:rPr>
        <w:t xml:space="preserve">a saber, regional o global, </w:t>
      </w:r>
      <w:r w:rsidRPr="002B33BC">
        <w:rPr>
          <w:rFonts w:hAnsi="Times New Roman"/>
          <w:lang w:val="es-AR"/>
        </w:rPr>
        <w:t>más allá de lo</w:t>
      </w:r>
      <w:r>
        <w:rPr>
          <w:rFonts w:hAnsi="Times New Roman"/>
          <w:lang w:val="es-AR"/>
        </w:rPr>
        <w:t>s límites del territorio de un E</w:t>
      </w:r>
      <w:r w:rsidRPr="002B33BC">
        <w:rPr>
          <w:rFonts w:hAnsi="Times New Roman"/>
          <w:lang w:val="es-AR"/>
        </w:rPr>
        <w:t>stado</w:t>
      </w:r>
      <w:r>
        <w:rPr>
          <w:rFonts w:hAnsi="Times New Roman"/>
          <w:lang w:val="es-AR"/>
        </w:rPr>
        <w:t>.</w:t>
      </w:r>
      <w:r w:rsidRPr="002B33BC">
        <w:rPr>
          <w:rFonts w:hAnsi="Times New Roman"/>
          <w:lang w:val="es-AR"/>
        </w:rPr>
        <w:t xml:space="preserve"> </w:t>
      </w:r>
      <w:r>
        <w:rPr>
          <w:rFonts w:hAnsi="Times New Roman"/>
          <w:lang w:val="es-AR"/>
        </w:rPr>
        <w:t xml:space="preserve">Una política pública que se transforma en política de Estado, no es solamente un proceso de mediación social con el propósito de resolver desajustes entre sectores de la sociedad, sino que constituye un conjunto de acciones que articulan una cuestión doméstica con el interés nacional, con la sustentabilidad relativamente autónoma del Estado, tanto en términos políticos como económicos, </w:t>
      </w:r>
      <w:r>
        <w:rPr>
          <w:rFonts w:hAnsi="Times New Roman"/>
          <w:lang w:val="es-AR"/>
        </w:rPr>
        <w:lastRenderedPageBreak/>
        <w:t xml:space="preserve">en el concierto regional e internacional, a mediano y largo plazo. En la elaboración de una política pública, una administración del Estado media entre sectores sociales y cristaliza en ella su idea del interés general respecto del escenario doméstico. En cambio, en una política de Estado, el Estado plasma en el tiempo, a través de sus élites, </w:t>
      </w:r>
      <w:r w:rsidRPr="00BE69AA">
        <w:rPr>
          <w:rFonts w:hAnsi="Times New Roman"/>
          <w:lang w:val="es-AR"/>
        </w:rPr>
        <w:t>el interés nacional</w:t>
      </w:r>
      <w:r>
        <w:rPr>
          <w:rFonts w:hAnsi="Times New Roman"/>
          <w:lang w:val="es-AR"/>
        </w:rPr>
        <w:t xml:space="preserve">, que lleva adelante en términos de su visión y su misión. </w:t>
      </w:r>
    </w:p>
    <w:p w:rsidR="00E37579" w:rsidRDefault="00E37579" w:rsidP="00EB2ADC">
      <w:pPr>
        <w:pStyle w:val="Predeterminado"/>
        <w:spacing w:line="360" w:lineRule="auto"/>
        <w:jc w:val="both"/>
        <w:rPr>
          <w:rFonts w:hAnsi="Times New Roman"/>
          <w:lang w:val="es-AR"/>
        </w:rPr>
      </w:pPr>
      <w:r w:rsidRPr="002B33BC">
        <w:rPr>
          <w:rFonts w:hAnsi="Times New Roman"/>
          <w:lang w:val="es-AR"/>
        </w:rPr>
        <w:t xml:space="preserve">En los estados democráticos actuales, el interés nacional se define en relación con la conquista del bienestar social, económico y cultural de todos sus ciudadanos. Las </w:t>
      </w:r>
      <w:r>
        <w:rPr>
          <w:rFonts w:hAnsi="Times New Roman"/>
          <w:lang w:val="es-AR"/>
        </w:rPr>
        <w:t>políticas de Estado</w:t>
      </w:r>
      <w:r w:rsidRPr="002B33BC">
        <w:rPr>
          <w:rFonts w:hAnsi="Times New Roman"/>
          <w:lang w:val="es-AR"/>
        </w:rPr>
        <w:t xml:space="preserve"> son aquellas políticas públicas que esencialmente aceitan los procesos de toma de decisión y ejecución de acciones orientadas hacia la satisfacción del interés nacional</w:t>
      </w:r>
      <w:r>
        <w:rPr>
          <w:rFonts w:hAnsi="Times New Roman"/>
          <w:lang w:val="es-AR"/>
        </w:rPr>
        <w:t xml:space="preserve"> a partir de plasmar la inserción de un país en el escenario económico, político y social global. El desafío de una política de Estado puede resumirse básicamente en la resolución de esta cuestión: dadas las características del escenario doméstico, qué inserción internacional garantiza la supervivencia autónoma del Estado y a la vez mejora las condiciones de vida de la totalidad de sus ciudadanos. </w:t>
      </w:r>
    </w:p>
    <w:p w:rsidR="00E37579" w:rsidRPr="002B33BC" w:rsidRDefault="00E37579" w:rsidP="00EB2ADC">
      <w:pPr>
        <w:pStyle w:val="Predeterminado"/>
        <w:spacing w:line="360" w:lineRule="auto"/>
        <w:jc w:val="both"/>
        <w:rPr>
          <w:rFonts w:hAnsi="Times New Roman"/>
          <w:lang w:val="es-AR"/>
        </w:rPr>
      </w:pPr>
      <w:r>
        <w:rPr>
          <w:rFonts w:hAnsi="Times New Roman"/>
          <w:lang w:val="es-AR"/>
        </w:rPr>
        <w:t>Hay políticas públicas que, en virtud de estar estrechamente enlazadas con el interés general, adquieren la condición de políticas de Estado</w:t>
      </w:r>
      <w:r w:rsidRPr="00DC5AE7">
        <w:rPr>
          <w:rFonts w:hAnsi="Times New Roman"/>
          <w:lang w:val="es-AR"/>
        </w:rPr>
        <w:t>;</w:t>
      </w:r>
      <w:r>
        <w:rPr>
          <w:rFonts w:hAnsi="Times New Roman"/>
          <w:lang w:val="es-AR"/>
        </w:rPr>
        <w:t xml:space="preserve"> por ejemplo, </w:t>
      </w:r>
      <w:r w:rsidRPr="002B33BC">
        <w:rPr>
          <w:rFonts w:hAnsi="Times New Roman"/>
          <w:lang w:val="es-AR"/>
        </w:rPr>
        <w:t>la política exterior y la política científica y tecnológica. Ambas tienen por objeto fenómenos que se extienden</w:t>
      </w:r>
      <w:r>
        <w:rPr>
          <w:rFonts w:hAnsi="Times New Roman"/>
          <w:lang w:val="es-AR"/>
        </w:rPr>
        <w:t xml:space="preserve"> más allá de los límites de un E</w:t>
      </w:r>
      <w:r w:rsidRPr="002B33BC">
        <w:rPr>
          <w:rFonts w:hAnsi="Times New Roman"/>
          <w:lang w:val="es-AR"/>
        </w:rPr>
        <w:t xml:space="preserve">stado: en un </w:t>
      </w:r>
      <w:r w:rsidRPr="00DC5AE7">
        <w:rPr>
          <w:rFonts w:hAnsi="Times New Roman"/>
          <w:lang w:val="es-AR"/>
        </w:rPr>
        <w:t>caso,</w:t>
      </w:r>
      <w:r w:rsidRPr="002B33BC">
        <w:rPr>
          <w:rFonts w:hAnsi="Times New Roman"/>
          <w:lang w:val="es-AR"/>
        </w:rPr>
        <w:t xml:space="preserve"> la distribución del poder en el escenario internacional; en </w:t>
      </w:r>
      <w:r w:rsidRPr="00DC5AE7">
        <w:rPr>
          <w:rFonts w:hAnsi="Times New Roman"/>
          <w:lang w:val="es-AR"/>
        </w:rPr>
        <w:t xml:space="preserve">otro, </w:t>
      </w:r>
      <w:r w:rsidRPr="00712AC7">
        <w:rPr>
          <w:rFonts w:hAnsi="Times New Roman"/>
          <w:lang w:val="es-AR"/>
        </w:rPr>
        <w:t xml:space="preserve">las agendas de </w:t>
      </w:r>
      <w:proofErr w:type="spellStart"/>
      <w:r w:rsidRPr="00712AC7">
        <w:rPr>
          <w:rFonts w:hAnsi="Times New Roman"/>
          <w:lang w:val="es-AR"/>
        </w:rPr>
        <w:t>I+D+i</w:t>
      </w:r>
      <w:proofErr w:type="spellEnd"/>
      <w:r w:rsidRPr="00DC5AE7">
        <w:rPr>
          <w:rFonts w:hAnsi="Times New Roman"/>
          <w:lang w:val="es-AR"/>
        </w:rPr>
        <w:t xml:space="preserve">, especialmente en áreas </w:t>
      </w:r>
      <w:r>
        <w:rPr>
          <w:rFonts w:hAnsi="Times New Roman"/>
          <w:lang w:val="es-AR"/>
        </w:rPr>
        <w:t xml:space="preserve">definidas como </w:t>
      </w:r>
      <w:r w:rsidRPr="00DC5AE7">
        <w:rPr>
          <w:rFonts w:hAnsi="Times New Roman"/>
          <w:lang w:val="es-AR"/>
        </w:rPr>
        <w:t>estratégicas</w:t>
      </w:r>
      <w:r>
        <w:rPr>
          <w:rFonts w:hAnsi="Times New Roman"/>
          <w:lang w:val="es-AR"/>
        </w:rPr>
        <w:t xml:space="preserve"> –salud, defensa, telecomunicaciones, transporte, etc</w:t>
      </w:r>
      <w:proofErr w:type="gramStart"/>
      <w:r>
        <w:rPr>
          <w:rFonts w:hAnsi="Times New Roman"/>
          <w:lang w:val="es-AR"/>
        </w:rPr>
        <w:t>.–</w:t>
      </w:r>
      <w:proofErr w:type="gramEnd"/>
      <w:r w:rsidRPr="00DC5AE7">
        <w:rPr>
          <w:rFonts w:hAnsi="Times New Roman"/>
          <w:lang w:val="es-AR"/>
        </w:rPr>
        <w:t xml:space="preserve"> o</w:t>
      </w:r>
      <w:r>
        <w:rPr>
          <w:rFonts w:hAnsi="Times New Roman"/>
          <w:lang w:val="es-AR"/>
        </w:rPr>
        <w:t xml:space="preserve"> de</w:t>
      </w:r>
      <w:r w:rsidRPr="00DC5AE7">
        <w:rPr>
          <w:rFonts w:hAnsi="Times New Roman"/>
          <w:lang w:val="es-AR"/>
        </w:rPr>
        <w:t xml:space="preserve"> sectores de</w:t>
      </w:r>
      <w:r>
        <w:rPr>
          <w:rFonts w:hAnsi="Times New Roman"/>
          <w:lang w:val="es-AR"/>
        </w:rPr>
        <w:t xml:space="preserve"> la economía de</w:t>
      </w:r>
      <w:r w:rsidRPr="00DC5AE7">
        <w:rPr>
          <w:rFonts w:hAnsi="Times New Roman"/>
          <w:lang w:val="es-AR"/>
        </w:rPr>
        <w:t xml:space="preserve"> alto valor agregado. Ambas </w:t>
      </w:r>
      <w:r>
        <w:rPr>
          <w:rFonts w:hAnsi="Times New Roman"/>
          <w:lang w:val="es-AR"/>
        </w:rPr>
        <w:t>se enfocan en</w:t>
      </w:r>
      <w:r w:rsidRPr="00DC5AE7">
        <w:rPr>
          <w:rFonts w:hAnsi="Times New Roman"/>
          <w:lang w:val="es-AR"/>
        </w:rPr>
        <w:t xml:space="preserve"> la inserción estratégica de un país en el campo de fuerzas geopolítico y geoeconómico,</w:t>
      </w:r>
      <w:r w:rsidRPr="002B33BC">
        <w:rPr>
          <w:rFonts w:hAnsi="Times New Roman"/>
          <w:lang w:val="es-AR"/>
        </w:rPr>
        <w:t xml:space="preserve"> están asentadas sobre diagnósticos</w:t>
      </w:r>
      <w:r>
        <w:rPr>
          <w:rFonts w:hAnsi="Times New Roman"/>
          <w:lang w:val="es-AR"/>
        </w:rPr>
        <w:t xml:space="preserve"> y prospectivas</w:t>
      </w:r>
      <w:r w:rsidRPr="002B33BC">
        <w:rPr>
          <w:rFonts w:hAnsi="Times New Roman"/>
          <w:lang w:val="es-AR"/>
        </w:rPr>
        <w:t xml:space="preserve"> de la situación doméstica y articulan diferentes actores, procesos y lógicas internas con una variedad de actores, procesos y lógicas transfronteriza</w:t>
      </w:r>
      <w:r>
        <w:rPr>
          <w:rFonts w:hAnsi="Times New Roman"/>
          <w:lang w:val="es-AR"/>
        </w:rPr>
        <w:t>s de naturalezas diferentes a la</w:t>
      </w:r>
      <w:r w:rsidRPr="002B33BC">
        <w:rPr>
          <w:rFonts w:hAnsi="Times New Roman"/>
          <w:lang w:val="es-AR"/>
        </w:rPr>
        <w:t>s primeras.</w:t>
      </w:r>
      <w:r>
        <w:rPr>
          <w:rStyle w:val="Refdenotaalpie"/>
          <w:rFonts w:hAnsi="Times New Roman"/>
          <w:lang w:val="es-AR"/>
        </w:rPr>
        <w:footnoteReference w:id="6"/>
      </w:r>
      <w:r>
        <w:rPr>
          <w:rFonts w:hAnsi="Times New Roman"/>
          <w:lang w:val="es-AR"/>
        </w:rPr>
        <w:t xml:space="preserve"> La naturaleza del objeto de esas políticas las transforma, se lo desee o no, en políticas de Estado. </w:t>
      </w:r>
      <w:r w:rsidRPr="002B33BC">
        <w:rPr>
          <w:rFonts w:hAnsi="Times New Roman"/>
          <w:lang w:val="es-AR"/>
        </w:rPr>
        <w:t xml:space="preserve"> </w:t>
      </w:r>
    </w:p>
    <w:p w:rsidR="00E37579" w:rsidRDefault="00E37579" w:rsidP="00EB2ADC">
      <w:pPr>
        <w:pStyle w:val="Predeterminado"/>
        <w:spacing w:line="360" w:lineRule="auto"/>
        <w:jc w:val="both"/>
        <w:rPr>
          <w:rFonts w:hAnsi="Times New Roman"/>
          <w:lang w:val="es-AR"/>
        </w:rPr>
      </w:pPr>
      <w:r>
        <w:rPr>
          <w:rFonts w:hAnsi="Times New Roman"/>
          <w:lang w:val="es-AR"/>
        </w:rPr>
        <w:t>La política científica y tecnológica deber ser distinguida de la política de la ciencia y la tecnología. Esta última tiene por objeto el análisis de las relaciones entre la ciencia, la tecnología y el poder (</w:t>
      </w:r>
      <w:proofErr w:type="spellStart"/>
      <w:r>
        <w:rPr>
          <w:rFonts w:hAnsi="Times New Roman"/>
          <w:lang w:val="es-AR"/>
        </w:rPr>
        <w:t>Elzinga</w:t>
      </w:r>
      <w:proofErr w:type="spellEnd"/>
      <w:r>
        <w:rPr>
          <w:rFonts w:hAnsi="Times New Roman"/>
          <w:lang w:val="es-AR"/>
        </w:rPr>
        <w:t xml:space="preserve"> y </w:t>
      </w:r>
      <w:proofErr w:type="spellStart"/>
      <w:r>
        <w:rPr>
          <w:rFonts w:hAnsi="Times New Roman"/>
          <w:lang w:val="es-AR"/>
        </w:rPr>
        <w:t>Jamison</w:t>
      </w:r>
      <w:proofErr w:type="spellEnd"/>
      <w:r>
        <w:rPr>
          <w:rFonts w:hAnsi="Times New Roman"/>
          <w:lang w:val="es-AR"/>
        </w:rPr>
        <w:t>, 1996); la primera, en cambio, comprende, en su condición de política pública, las decisiones y acción colectivas que toma un Estado para fomentar el desarrollo de la investigación científica y tecnológica, articularlos o no con la estructura productiva del país y aprovechar sus productos para mejorar las condiciones de vida de sus ciudadanos (</w:t>
      </w:r>
      <w:proofErr w:type="spellStart"/>
      <w:r>
        <w:rPr>
          <w:rFonts w:hAnsi="Times New Roman"/>
          <w:lang w:val="es-AR"/>
        </w:rPr>
        <w:t>Salomon</w:t>
      </w:r>
      <w:proofErr w:type="spellEnd"/>
      <w:r>
        <w:rPr>
          <w:rFonts w:hAnsi="Times New Roman"/>
          <w:lang w:val="es-AR"/>
        </w:rPr>
        <w:t>, 1977).</w:t>
      </w:r>
      <w:r>
        <w:rPr>
          <w:rStyle w:val="Refdenotaalpie"/>
          <w:rFonts w:hAnsi="Times New Roman"/>
          <w:lang w:val="es-AR"/>
        </w:rPr>
        <w:footnoteReference w:id="7"/>
      </w:r>
      <w:r>
        <w:rPr>
          <w:rFonts w:hAnsi="Times New Roman"/>
          <w:lang w:val="es-AR"/>
        </w:rPr>
        <w:t xml:space="preserve"> En su condición </w:t>
      </w:r>
      <w:r>
        <w:rPr>
          <w:rFonts w:hAnsi="Times New Roman"/>
          <w:lang w:val="es-AR"/>
        </w:rPr>
        <w:lastRenderedPageBreak/>
        <w:t xml:space="preserve">de política de Estado, estas decisiones están ensambladas con la satisfacción del interés nacional, la búsqueda de la independencia económica y la soberanía política en el contexto regional e internacional que otorguen el grado de libertad necesario para decidir la inserción internacional del país en función del bienestar de sus habitantes.     </w:t>
      </w:r>
    </w:p>
    <w:p w:rsidR="00E37579" w:rsidRPr="002B33BC" w:rsidRDefault="00E37579" w:rsidP="00EB2ADC">
      <w:pPr>
        <w:pStyle w:val="Predeterminado"/>
        <w:spacing w:line="360" w:lineRule="auto"/>
        <w:jc w:val="both"/>
        <w:rPr>
          <w:rFonts w:hAnsi="Times New Roman"/>
          <w:lang w:val="es-AR"/>
        </w:rPr>
      </w:pPr>
      <w:r w:rsidRPr="002B33BC">
        <w:rPr>
          <w:rFonts w:hAnsi="Times New Roman"/>
          <w:lang w:val="es-AR"/>
        </w:rPr>
        <w:t xml:space="preserve">En función de estas premisas, la política científica y tecnológica sin un proyecto de desarrollo socioeconómico </w:t>
      </w:r>
      <w:r>
        <w:rPr>
          <w:rFonts w:hAnsi="Times New Roman"/>
          <w:lang w:val="es-AR"/>
        </w:rPr>
        <w:t xml:space="preserve">nacional </w:t>
      </w:r>
      <w:r w:rsidRPr="002B33BC">
        <w:rPr>
          <w:rFonts w:hAnsi="Times New Roman"/>
          <w:lang w:val="es-AR"/>
        </w:rPr>
        <w:t xml:space="preserve">es ciega; el desarrollo socioeconómico </w:t>
      </w:r>
      <w:r>
        <w:rPr>
          <w:rFonts w:hAnsi="Times New Roman"/>
          <w:lang w:val="es-AR"/>
        </w:rPr>
        <w:t xml:space="preserve">nacional </w:t>
      </w:r>
      <w:r w:rsidRPr="002B33BC">
        <w:rPr>
          <w:rFonts w:hAnsi="Times New Roman"/>
          <w:lang w:val="es-AR"/>
        </w:rPr>
        <w:t xml:space="preserve">sin una </w:t>
      </w:r>
      <w:r>
        <w:rPr>
          <w:rFonts w:hAnsi="Times New Roman"/>
          <w:lang w:val="es-AR"/>
        </w:rPr>
        <w:t>política de Estado</w:t>
      </w:r>
      <w:r w:rsidRPr="002B33BC">
        <w:rPr>
          <w:rFonts w:hAnsi="Times New Roman"/>
          <w:lang w:val="es-AR"/>
        </w:rPr>
        <w:t xml:space="preserve"> de ciencia y tecnología es vacío.</w:t>
      </w:r>
      <w:r>
        <w:rPr>
          <w:rStyle w:val="Refdenotaalpie"/>
          <w:rFonts w:hAnsi="Times New Roman"/>
          <w:lang w:val="es-AR"/>
        </w:rPr>
        <w:footnoteReference w:id="8"/>
      </w:r>
      <w:r w:rsidRPr="002B33BC">
        <w:rPr>
          <w:rFonts w:hAnsi="Times New Roman"/>
          <w:lang w:val="es-AR"/>
        </w:rPr>
        <w:t xml:space="preserve"> </w:t>
      </w:r>
    </w:p>
    <w:p w:rsidR="00E37579" w:rsidRDefault="00E37579" w:rsidP="00EB2ADC">
      <w:pPr>
        <w:pStyle w:val="Predeterminado"/>
        <w:spacing w:line="360" w:lineRule="auto"/>
        <w:jc w:val="both"/>
        <w:rPr>
          <w:rFonts w:hAnsi="Times New Roman"/>
          <w:lang w:val="es-AR"/>
        </w:rPr>
      </w:pPr>
      <w:r>
        <w:rPr>
          <w:rFonts w:hAnsi="Times New Roman"/>
          <w:b/>
          <w:lang w:val="es-AR"/>
        </w:rPr>
        <w:t>La presencia del E</w:t>
      </w:r>
      <w:r w:rsidRPr="009A7E70">
        <w:rPr>
          <w:rFonts w:hAnsi="Times New Roman"/>
          <w:b/>
          <w:lang w:val="es-AR"/>
        </w:rPr>
        <w:t>stado como motor y articulador de la política científica y tecnológica</w:t>
      </w:r>
      <w:r>
        <w:rPr>
          <w:rFonts w:hAnsi="Times New Roman"/>
          <w:b/>
          <w:lang w:val="es-AR"/>
        </w:rPr>
        <w:t>: un breve recorrido histórico</w:t>
      </w:r>
      <w:r>
        <w:rPr>
          <w:rFonts w:hAnsi="Times New Roman"/>
          <w:lang w:val="es-AR"/>
        </w:rPr>
        <w:t xml:space="preserve"> </w:t>
      </w:r>
    </w:p>
    <w:p w:rsidR="00E37579" w:rsidRPr="00C95E16" w:rsidRDefault="00E37579" w:rsidP="00EB2ADC">
      <w:pPr>
        <w:pStyle w:val="Predeterminado"/>
        <w:spacing w:line="360" w:lineRule="auto"/>
        <w:jc w:val="both"/>
        <w:rPr>
          <w:rFonts w:hAnsi="Times New Roman"/>
          <w:szCs w:val="24"/>
          <w:lang w:val="es-ES"/>
        </w:rPr>
      </w:pPr>
      <w:r w:rsidRPr="00C95E16">
        <w:rPr>
          <w:rFonts w:hAnsi="Times New Roman"/>
          <w:szCs w:val="24"/>
          <w:lang w:val="es-AR"/>
        </w:rPr>
        <w:t xml:space="preserve">Al final de la Segunda Guerra Mundial, para las economías centrales no quedan dudas que la ciencia y la tecnología deben ser concebidas como activos nacionales estratégicos y que, por lo tanto, deben ser objeto de </w:t>
      </w:r>
      <w:r>
        <w:rPr>
          <w:rFonts w:hAnsi="Times New Roman"/>
          <w:szCs w:val="24"/>
          <w:lang w:val="es-AR"/>
        </w:rPr>
        <w:t>políticas de Estado</w:t>
      </w:r>
      <w:r w:rsidRPr="00C95E16">
        <w:rPr>
          <w:rFonts w:hAnsi="Times New Roman"/>
          <w:szCs w:val="24"/>
          <w:lang w:val="es-AR"/>
        </w:rPr>
        <w:t xml:space="preserve">. Así, durante las siguientes décadas, cada estado nacional buscará el camino más adecuado para resolver la tensión entre </w:t>
      </w:r>
      <w:r w:rsidRPr="00C95E16">
        <w:rPr>
          <w:rFonts w:hAnsi="Times New Roman"/>
          <w:szCs w:val="24"/>
          <w:lang w:val="es-ES"/>
        </w:rPr>
        <w:t>la “cultura académica”, que se interesa “por conservar lo que se perciben como valores académicos de autonomía, integridad, objetividad y control sobre la inversión y la organización”, y los objetivos de la “cultura burocrática”, que se enfoca en la planificación, la coordinación y el establecimiento de prioridades (</w:t>
      </w:r>
      <w:proofErr w:type="spellStart"/>
      <w:r w:rsidRPr="00C95E16">
        <w:rPr>
          <w:rFonts w:hAnsi="Times New Roman"/>
          <w:szCs w:val="24"/>
          <w:lang w:val="es-ES"/>
        </w:rPr>
        <w:t>Elzinga</w:t>
      </w:r>
      <w:proofErr w:type="spellEnd"/>
      <w:r w:rsidRPr="00C95E16">
        <w:rPr>
          <w:rFonts w:hAnsi="Times New Roman"/>
          <w:szCs w:val="24"/>
          <w:lang w:val="es-ES"/>
        </w:rPr>
        <w:t xml:space="preserve"> y </w:t>
      </w:r>
      <w:proofErr w:type="spellStart"/>
      <w:r w:rsidRPr="00C95E16">
        <w:rPr>
          <w:rFonts w:hAnsi="Times New Roman"/>
          <w:szCs w:val="24"/>
          <w:lang w:val="es-ES"/>
        </w:rPr>
        <w:t>Jamison</w:t>
      </w:r>
      <w:proofErr w:type="spellEnd"/>
      <w:r w:rsidRPr="00C95E16">
        <w:rPr>
          <w:rFonts w:hAnsi="Times New Roman"/>
          <w:szCs w:val="24"/>
          <w:lang w:val="es-ES"/>
        </w:rPr>
        <w:t xml:space="preserve">, 1996). La resolución de este “desajuste” y la creciente asimilación de las actividades de </w:t>
      </w:r>
      <w:proofErr w:type="spellStart"/>
      <w:r>
        <w:rPr>
          <w:rFonts w:hAnsi="Times New Roman"/>
          <w:szCs w:val="24"/>
          <w:lang w:val="es-ES"/>
        </w:rPr>
        <w:t>I+D+i</w:t>
      </w:r>
      <w:proofErr w:type="spellEnd"/>
      <w:r w:rsidRPr="00C95E16">
        <w:rPr>
          <w:rFonts w:hAnsi="Times New Roman"/>
          <w:szCs w:val="24"/>
          <w:lang w:val="es-ES"/>
        </w:rPr>
        <w:t xml:space="preserve"> a las dinámicas económicas y de desarrollo social durante las siguientes décadas van a plantear senderos específicos vinculados a las propias historias e idiosincrasias nacionales. La gran moraleja es que no hay recetas automáticas, cada país debe encontrar su propio sendero de desarrollo. Prácticas de diseño institucional, de aprendizaje organizacional, de incentivo y/o </w:t>
      </w:r>
      <w:proofErr w:type="spellStart"/>
      <w:r w:rsidRPr="00C95E16">
        <w:rPr>
          <w:rFonts w:hAnsi="Times New Roman"/>
          <w:szCs w:val="24"/>
          <w:lang w:val="es-ES"/>
        </w:rPr>
        <w:t>disciplinamiento</w:t>
      </w:r>
      <w:proofErr w:type="spellEnd"/>
      <w:r w:rsidRPr="00C95E16">
        <w:rPr>
          <w:rFonts w:hAnsi="Times New Roman"/>
          <w:szCs w:val="24"/>
          <w:lang w:val="es-ES"/>
        </w:rPr>
        <w:t xml:space="preserve"> de empresas, de estrategias de vinculación público-privada que deben lidiar con las culturas científicas, tecnológicas y empresariales, etc. son algunas de las variables que integran los procesos complejos de aprendizaje colectivo y acumulación de capacidades para la formulación y ejecución eficaz de políticas científicas y tecnológicas. </w:t>
      </w:r>
    </w:p>
    <w:p w:rsidR="00E37579" w:rsidRPr="00C95E16" w:rsidRDefault="00E37579" w:rsidP="00EB2ADC">
      <w:pPr>
        <w:pStyle w:val="Predeterminado"/>
        <w:spacing w:line="360" w:lineRule="auto"/>
        <w:jc w:val="both"/>
        <w:rPr>
          <w:rFonts w:hAnsi="Times New Roman"/>
          <w:lang w:val="es-AR"/>
        </w:rPr>
      </w:pPr>
      <w:r w:rsidRPr="00C95E16">
        <w:rPr>
          <w:rFonts w:hAnsi="Times New Roman"/>
          <w:lang w:val="es-AR"/>
        </w:rPr>
        <w:t xml:space="preserve">Mientras las economías centrales se caracterizan por la relativa estabilidad del desarrollo económico y social que </w:t>
      </w:r>
      <w:proofErr w:type="spellStart"/>
      <w:r w:rsidRPr="00C95E16">
        <w:rPr>
          <w:rFonts w:hAnsi="Times New Roman"/>
          <w:lang w:val="es-AR"/>
        </w:rPr>
        <w:t>coevoluciona</w:t>
      </w:r>
      <w:proofErr w:type="spellEnd"/>
      <w:r w:rsidRPr="00C95E16">
        <w:rPr>
          <w:rFonts w:hAnsi="Times New Roman"/>
          <w:lang w:val="es-AR"/>
        </w:rPr>
        <w:t xml:space="preserve"> de forma sinérgica con los sistemas nacionales de </w:t>
      </w:r>
      <w:proofErr w:type="spellStart"/>
      <w:r w:rsidRPr="00C95E16">
        <w:rPr>
          <w:rFonts w:hAnsi="Times New Roman"/>
          <w:lang w:val="es-AR"/>
        </w:rPr>
        <w:t>I+D+i</w:t>
      </w:r>
      <w:proofErr w:type="spellEnd"/>
      <w:r w:rsidRPr="00C95E16">
        <w:rPr>
          <w:rFonts w:hAnsi="Times New Roman"/>
          <w:lang w:val="es-AR"/>
        </w:rPr>
        <w:t xml:space="preserve">, en países no centrales que presentan cierta capacidad industrial, como Argentina, los proceso de desarrollo dependiente (Evans, 1979) explican en buena medida la inestabilidad política e institucional donde se insertan las actividades de </w:t>
      </w:r>
      <w:proofErr w:type="spellStart"/>
      <w:r w:rsidRPr="00C95E16">
        <w:rPr>
          <w:rFonts w:hAnsi="Times New Roman"/>
          <w:lang w:val="es-AR"/>
        </w:rPr>
        <w:t>I+D+i</w:t>
      </w:r>
      <w:proofErr w:type="spellEnd"/>
      <w:r w:rsidRPr="00C95E16">
        <w:rPr>
          <w:rFonts w:hAnsi="Times New Roman"/>
          <w:lang w:val="es-AR"/>
        </w:rPr>
        <w:t xml:space="preserve">. Enfocado en el ciclo de industrialización sustitutiva de los años sesenta y setenta, </w:t>
      </w:r>
      <w:proofErr w:type="spellStart"/>
      <w:r w:rsidRPr="00C95E16">
        <w:rPr>
          <w:rFonts w:hAnsi="Times New Roman"/>
          <w:color w:val="000000"/>
          <w:lang w:val="es-MX"/>
        </w:rPr>
        <w:t>O’Donnell</w:t>
      </w:r>
      <w:proofErr w:type="spellEnd"/>
      <w:r w:rsidRPr="00C95E16">
        <w:rPr>
          <w:rFonts w:hAnsi="Times New Roman"/>
          <w:lang w:val="es-AR"/>
        </w:rPr>
        <w:t xml:space="preserve"> (2009 [1982]: 117) caracteriza la economía argentina como “capitalismo </w:t>
      </w:r>
      <w:r w:rsidRPr="00C95E16">
        <w:rPr>
          <w:rFonts w:hAnsi="Times New Roman"/>
          <w:lang w:val="es-AR"/>
        </w:rPr>
        <w:lastRenderedPageBreak/>
        <w:t xml:space="preserve">extensamente industrializado, dependiente, desequilibrado y profundamente penetrado por el capital transnacional”. Al ocupar los sectores más dinámicos, las empresas trasnacionales trajeron el equipamiento y la tecnología necesaria de sus casa matrices, relegando a un lugar subsidiario a la industria de capitales nacionales y dejando sin demanda a las actividades de investigación y desarrollo locales. </w:t>
      </w:r>
      <w:r w:rsidRPr="00C95E16">
        <w:rPr>
          <w:rFonts w:hAnsi="Times New Roman"/>
          <w:lang w:val="es-AR" w:eastAsia="es-ES"/>
        </w:rPr>
        <w:t xml:space="preserve">Como señala a fines de los años sesenta el economista brasileño Celso </w:t>
      </w:r>
      <w:proofErr w:type="spellStart"/>
      <w:r w:rsidRPr="00C95E16">
        <w:rPr>
          <w:rFonts w:hAnsi="Times New Roman"/>
          <w:lang w:val="es-AR" w:eastAsia="es-ES"/>
        </w:rPr>
        <w:t>Furtado</w:t>
      </w:r>
      <w:proofErr w:type="spellEnd"/>
      <w:r w:rsidRPr="00C95E16">
        <w:rPr>
          <w:rFonts w:hAnsi="Times New Roman"/>
          <w:lang w:val="es-AR" w:eastAsia="es-ES"/>
        </w:rPr>
        <w:t xml:space="preserve"> refiriéndose a las inversiones extranjeras directas en el sector industrial, que en su mayor parte se volcaron sobre la Argentina, Brasil y México: “Entre 1955 y 1968, las ganancias de las subsidiarias de empresas norteamericanas en América latina por derechos de patentes y asistencia técnica representaron el 56 por ciento de las ganancias remitidas a sus casas matrices” (</w:t>
      </w:r>
      <w:proofErr w:type="spellStart"/>
      <w:r w:rsidRPr="00C95E16">
        <w:rPr>
          <w:rFonts w:hAnsi="Times New Roman"/>
          <w:lang w:val="es-AR"/>
        </w:rPr>
        <w:t>Furtado</w:t>
      </w:r>
      <w:proofErr w:type="spellEnd"/>
      <w:r w:rsidRPr="00C95E16">
        <w:rPr>
          <w:rFonts w:hAnsi="Times New Roman"/>
          <w:lang w:val="es-AR"/>
        </w:rPr>
        <w:t>, 1970: 204 n. 4)</w:t>
      </w:r>
      <w:r w:rsidRPr="00C95E16">
        <w:rPr>
          <w:rFonts w:hAnsi="Times New Roman"/>
          <w:lang w:val="es-AR" w:eastAsia="es-ES"/>
        </w:rPr>
        <w:t>.</w:t>
      </w:r>
      <w:r w:rsidRPr="00C95E16">
        <w:rPr>
          <w:rFonts w:hAnsi="Times New Roman"/>
          <w:lang w:val="es-AR"/>
        </w:rPr>
        <w:t xml:space="preserve"> </w:t>
      </w:r>
      <w:r w:rsidRPr="00C95E16">
        <w:rPr>
          <w:rFonts w:hAnsi="Times New Roman"/>
          <w:lang w:val="es-AR" w:eastAsia="es-ES"/>
        </w:rPr>
        <w:t>A comienzos de los años setenta, salvo escasa excepciones, las actividades de ciencia y tecnología están desconectadas de la realidad socioeconómica local.</w:t>
      </w:r>
    </w:p>
    <w:p w:rsidR="00E37579" w:rsidRPr="00C95E16" w:rsidRDefault="00E37579" w:rsidP="00EB2ADC">
      <w:pPr>
        <w:pStyle w:val="Predeterminado"/>
        <w:spacing w:line="360" w:lineRule="auto"/>
        <w:ind w:firstLine="1"/>
        <w:jc w:val="both"/>
        <w:rPr>
          <w:rFonts w:hAnsi="Times New Roman"/>
          <w:lang w:val="es-ES_tradnl"/>
        </w:rPr>
      </w:pPr>
      <w:r w:rsidRPr="00C95E16">
        <w:rPr>
          <w:rFonts w:hAnsi="Times New Roman"/>
          <w:lang w:val="es-MX"/>
        </w:rPr>
        <w:t>A fi</w:t>
      </w:r>
      <w:r>
        <w:rPr>
          <w:rFonts w:hAnsi="Times New Roman"/>
          <w:lang w:val="es-MX"/>
        </w:rPr>
        <w:t>nes de los años sesenta, Sá</w:t>
      </w:r>
      <w:r w:rsidRPr="00C95E16">
        <w:rPr>
          <w:rFonts w:hAnsi="Times New Roman"/>
          <w:lang w:val="es-MX"/>
        </w:rPr>
        <w:t xml:space="preserve">bato y Botana explican que la experiencia histórica demuestra que “la acción de insertar la ciencia y la tecnología en la trama misma del desarrollo” es “el resultado de la acción múltiple y coordinada de tres elementos fundamentales </w:t>
      </w:r>
      <w:r w:rsidRPr="00C95E16">
        <w:rPr>
          <w:rFonts w:hAnsi="Times New Roman"/>
          <w:lang w:val="es-ES_tradnl"/>
        </w:rPr>
        <w:t>[...]: el gobierno, la estructura productiva y la infraestructura científico-tecnológica”.</w:t>
      </w:r>
      <w:r w:rsidRPr="00C95E16">
        <w:rPr>
          <w:rFonts w:hAnsi="Times New Roman"/>
          <w:lang w:val="es-MX"/>
        </w:rPr>
        <w:t xml:space="preserve"> Considerando “el carácter mixto de las economías latinoamericanas, en donde el sector público es parte importante de la estructura productiva, el vértice-gobierno tendría en sus manos un campo de experiencia sumamente interesante”. A partir de la lección del sector nuclear, que en la Argentina había permitido el desarrollo inédito de capacidades tecnológicas autónomas, la propuesta de estos autores es impulsar “triángulos sectoriales”</w:t>
      </w:r>
      <w:r w:rsidRPr="00C95E16">
        <w:rPr>
          <w:rFonts w:hAnsi="Times New Roman"/>
          <w:lang w:val="es-ES_tradnl"/>
        </w:rPr>
        <w:t xml:space="preserve"> en “algunos de los grandes conglomerados que componen el sector público”, como siderurgia, petróleo o electricidad. Y concluyen: “Movilizando inteligencias y voluntades, el triángulo sectorial actuaría como un polo de integración de investigadores que, en muchos sentidos, están alienados de nuestras realidades nacionales, otorgando un sentido social a la existencia del individuo y garantizando e</w:t>
      </w:r>
      <w:r>
        <w:rPr>
          <w:rFonts w:hAnsi="Times New Roman"/>
          <w:lang w:val="es-ES_tradnl"/>
        </w:rPr>
        <w:t>l desarrollo de su vocación” (Sá</w:t>
      </w:r>
      <w:r w:rsidRPr="00C95E16">
        <w:rPr>
          <w:rFonts w:hAnsi="Times New Roman"/>
          <w:lang w:val="es-ES_tradnl"/>
        </w:rPr>
        <w:t>bato y Botana, 2011 [1968]: 219-220, 228-229, 231).</w:t>
      </w:r>
    </w:p>
    <w:p w:rsidR="00E37579" w:rsidRPr="00C95E16" w:rsidRDefault="00E37579" w:rsidP="00EB2ADC">
      <w:pPr>
        <w:pStyle w:val="Predeterminado"/>
        <w:spacing w:line="360" w:lineRule="auto"/>
        <w:ind w:firstLine="1"/>
        <w:jc w:val="both"/>
        <w:rPr>
          <w:rFonts w:hAnsi="Times New Roman"/>
          <w:color w:val="000000"/>
          <w:lang w:val="es-ES"/>
        </w:rPr>
      </w:pPr>
      <w:r w:rsidRPr="00C95E16">
        <w:rPr>
          <w:rFonts w:hAnsi="Times New Roman"/>
          <w:color w:val="000000"/>
          <w:lang w:val="es-AR"/>
        </w:rPr>
        <w:t>Durante</w:t>
      </w:r>
      <w:r>
        <w:rPr>
          <w:rFonts w:hAnsi="Times New Roman"/>
          <w:color w:val="000000"/>
          <w:lang w:val="es-AR"/>
        </w:rPr>
        <w:t xml:space="preserve"> los años setenta, Sá</w:t>
      </w:r>
      <w:r w:rsidRPr="00C95E16">
        <w:rPr>
          <w:rFonts w:hAnsi="Times New Roman"/>
          <w:color w:val="000000"/>
          <w:lang w:val="es-AR"/>
        </w:rPr>
        <w:t xml:space="preserve">bato y Botana integran un conjunto heterogéneo de intelectuales, académicos y tecnólogos que emergen en América Latina a fines de los años sesenta que hoy es estudiado como “escuela”, “corriente” o “movimiento” de producción de conocimiento alrededor de la problemática “ciencia-tecnología-desarrollo-dependencia”. Amílcar Herrera (Argentina), Helio </w:t>
      </w:r>
      <w:proofErr w:type="spellStart"/>
      <w:r w:rsidRPr="00C95E16">
        <w:rPr>
          <w:rFonts w:hAnsi="Times New Roman"/>
          <w:color w:val="000000"/>
          <w:lang w:val="es-AR"/>
        </w:rPr>
        <w:t>Jaguaribe</w:t>
      </w:r>
      <w:proofErr w:type="spellEnd"/>
      <w:r w:rsidRPr="00C95E16">
        <w:rPr>
          <w:rFonts w:hAnsi="Times New Roman"/>
          <w:color w:val="000000"/>
          <w:lang w:val="es-AR"/>
        </w:rPr>
        <w:t xml:space="preserve"> (Brasil), Osvaldo </w:t>
      </w:r>
      <w:proofErr w:type="spellStart"/>
      <w:r w:rsidRPr="00C95E16">
        <w:rPr>
          <w:rFonts w:hAnsi="Times New Roman"/>
          <w:color w:val="000000"/>
          <w:lang w:val="es-AR"/>
        </w:rPr>
        <w:t>Sunkel</w:t>
      </w:r>
      <w:proofErr w:type="spellEnd"/>
      <w:r w:rsidRPr="00C95E16">
        <w:rPr>
          <w:rFonts w:hAnsi="Times New Roman"/>
          <w:color w:val="000000"/>
          <w:lang w:val="es-AR"/>
        </w:rPr>
        <w:t xml:space="preserve"> (Chile), Miguel </w:t>
      </w:r>
      <w:proofErr w:type="spellStart"/>
      <w:r w:rsidRPr="00C95E16">
        <w:rPr>
          <w:rFonts w:hAnsi="Times New Roman"/>
          <w:color w:val="000000"/>
          <w:lang w:val="es-AR"/>
        </w:rPr>
        <w:t>Wionczek</w:t>
      </w:r>
      <w:proofErr w:type="spellEnd"/>
      <w:r w:rsidRPr="00C95E16">
        <w:rPr>
          <w:rFonts w:hAnsi="Times New Roman"/>
          <w:color w:val="000000"/>
          <w:lang w:val="es-AR"/>
        </w:rPr>
        <w:t xml:space="preserve"> (México), Máximo </w:t>
      </w:r>
      <w:proofErr w:type="spellStart"/>
      <w:r w:rsidRPr="00C95E16">
        <w:rPr>
          <w:rFonts w:hAnsi="Times New Roman"/>
          <w:color w:val="000000"/>
          <w:lang w:val="es-AR"/>
        </w:rPr>
        <w:t>Halty-Carriere</w:t>
      </w:r>
      <w:proofErr w:type="spellEnd"/>
      <w:r w:rsidRPr="00C95E16">
        <w:rPr>
          <w:rFonts w:hAnsi="Times New Roman"/>
          <w:color w:val="000000"/>
          <w:lang w:val="es-AR"/>
        </w:rPr>
        <w:t xml:space="preserve"> (Uruguay) o Marcel Roche (Venezuela) son algunos de sus representantes de mayor circulación. Este grupo de pensadores, </w:t>
      </w:r>
      <w:r w:rsidRPr="00C95E16">
        <w:rPr>
          <w:rFonts w:hAnsi="Times New Roman"/>
          <w:lang w:val="es-MX"/>
        </w:rPr>
        <w:t>que hoy llamamos</w:t>
      </w:r>
      <w:r w:rsidRPr="00C95E16">
        <w:rPr>
          <w:rFonts w:hAnsi="Times New Roman"/>
          <w:lang w:val="es-AR"/>
        </w:rPr>
        <w:t xml:space="preserve"> “pensamiento latinoamericano en ciencia, tecnología y desarrollo” (PLACTED),</w:t>
      </w:r>
      <w:r w:rsidRPr="00C95E16">
        <w:rPr>
          <w:rFonts w:hAnsi="Times New Roman"/>
          <w:color w:val="000000"/>
          <w:lang w:val="es-AR"/>
        </w:rPr>
        <w:t xml:space="preserve"> logró construir y consensuar una agenda común de discusión que hizo posible codificar experiencias sectoriales, interpretar trayectorias y roles institucionales, así como diseñar algunos diagnósticos necesarios para la formulación de políticas públicas de ciencia, </w:t>
      </w:r>
      <w:r w:rsidRPr="00C95E16">
        <w:rPr>
          <w:rFonts w:hAnsi="Times New Roman"/>
          <w:color w:val="000000"/>
          <w:lang w:val="es-AR"/>
        </w:rPr>
        <w:lastRenderedPageBreak/>
        <w:t>tecnología y desarrollo específicas para los países de la región.</w:t>
      </w:r>
    </w:p>
    <w:p w:rsidR="00E37579" w:rsidRPr="00400E65" w:rsidRDefault="00E37579" w:rsidP="00EB2ADC">
      <w:pPr>
        <w:pStyle w:val="Predeterminado"/>
        <w:spacing w:line="360" w:lineRule="auto"/>
        <w:ind w:firstLine="1"/>
        <w:jc w:val="both"/>
        <w:rPr>
          <w:rFonts w:hAnsi="Times New Roman"/>
          <w:i/>
          <w:color w:val="000000"/>
          <w:lang w:val="es-AR"/>
        </w:rPr>
      </w:pPr>
      <w:r w:rsidRPr="00400E65">
        <w:rPr>
          <w:rFonts w:hAnsi="Times New Roman"/>
          <w:i/>
          <w:color w:val="000000"/>
          <w:lang w:val="es-AR"/>
        </w:rPr>
        <w:t>El tsunami neoliberal</w:t>
      </w:r>
    </w:p>
    <w:p w:rsidR="00E37579" w:rsidRPr="00C95E16" w:rsidRDefault="00E37579" w:rsidP="00EB2ADC">
      <w:pPr>
        <w:pStyle w:val="Predeterminado"/>
        <w:spacing w:line="360" w:lineRule="auto"/>
        <w:ind w:firstLine="1"/>
        <w:jc w:val="both"/>
        <w:rPr>
          <w:rFonts w:hAnsi="Times New Roman"/>
          <w:color w:val="000000"/>
          <w:szCs w:val="24"/>
          <w:lang w:val="es-AR"/>
        </w:rPr>
      </w:pPr>
      <w:r w:rsidRPr="00C95E16">
        <w:rPr>
          <w:rFonts w:hAnsi="Times New Roman"/>
          <w:color w:val="000000"/>
          <w:szCs w:val="24"/>
          <w:lang w:val="es-AR"/>
        </w:rPr>
        <w:t xml:space="preserve">El primer ciclo de industrialización (1930-1976) y la creciente comprensión de cómo generar procesos de enraizamiento de las actividades de </w:t>
      </w:r>
      <w:proofErr w:type="spellStart"/>
      <w:r w:rsidRPr="00C95E16">
        <w:rPr>
          <w:rFonts w:hAnsi="Times New Roman"/>
          <w:color w:val="000000"/>
          <w:szCs w:val="24"/>
          <w:lang w:val="es-AR"/>
        </w:rPr>
        <w:t>I+D+i</w:t>
      </w:r>
      <w:proofErr w:type="spellEnd"/>
      <w:r w:rsidRPr="00C95E16">
        <w:rPr>
          <w:rFonts w:hAnsi="Times New Roman"/>
          <w:color w:val="000000"/>
          <w:szCs w:val="24"/>
          <w:lang w:val="es-AR"/>
        </w:rPr>
        <w:t xml:space="preserve"> en el desarrollo económico y social fueron clausurados por la llegada del proyecto de globalización neoliberal a América Latina –en algunos casos a través de dictaduras– y del inicio de procesos de desindustrialización y </w:t>
      </w:r>
      <w:proofErr w:type="spellStart"/>
      <w:r w:rsidRPr="00C95E16">
        <w:rPr>
          <w:rFonts w:hAnsi="Times New Roman"/>
          <w:color w:val="000000"/>
          <w:szCs w:val="24"/>
          <w:lang w:val="es-AR"/>
        </w:rPr>
        <w:t>financierización</w:t>
      </w:r>
      <w:proofErr w:type="spellEnd"/>
      <w:r w:rsidRPr="00C95E16">
        <w:rPr>
          <w:rFonts w:hAnsi="Times New Roman"/>
          <w:color w:val="000000"/>
          <w:szCs w:val="24"/>
          <w:lang w:val="es-AR"/>
        </w:rPr>
        <w:t xml:space="preserve"> de las economías nacionales junto con un nuevo ciclo de endeudamiento inédito por sus características y dimensiones. A modo de síntesis, digamos que la operación política e ideológica neoliberal apuntó a la erosión y el desprestigio de las ideas, enfoques y componentes ideológicos promovidos por la perspectiva del PLACTED. En su lugar, se comenzó a difundir un nuevo programa o paradigma político-epistemológico basado en: (i) la privatización y mercantilización del conocimiento; (ii) la </w:t>
      </w:r>
      <w:proofErr w:type="spellStart"/>
      <w:r w:rsidRPr="00C95E16">
        <w:rPr>
          <w:rFonts w:hAnsi="Times New Roman"/>
          <w:color w:val="000000"/>
          <w:szCs w:val="24"/>
          <w:lang w:val="es-AR"/>
        </w:rPr>
        <w:t>deshistorización</w:t>
      </w:r>
      <w:proofErr w:type="spellEnd"/>
      <w:r w:rsidRPr="00C95E16">
        <w:rPr>
          <w:rFonts w:hAnsi="Times New Roman"/>
          <w:color w:val="000000"/>
          <w:szCs w:val="24"/>
          <w:lang w:val="es-AR"/>
        </w:rPr>
        <w:t xml:space="preserve"> y homogeneización de las periferias como estrategia analítica que hizo posible la producción de diagnósticos genéricos y, por lo tanto, de soluciones o “recetas” genéricas; y (iii) la difusión de categorías teórico-políticas ajenas a los procesos de desarrollo socioeconómico de los países de la región. </w:t>
      </w:r>
    </w:p>
    <w:p w:rsidR="00E37579" w:rsidRDefault="00E37579" w:rsidP="00EB2ADC">
      <w:pPr>
        <w:pStyle w:val="Predeterminado"/>
        <w:spacing w:line="360" w:lineRule="auto"/>
        <w:ind w:firstLine="1"/>
        <w:jc w:val="both"/>
        <w:rPr>
          <w:rFonts w:hAnsi="Times New Roman"/>
          <w:szCs w:val="24"/>
          <w:lang w:val="es-ES"/>
        </w:rPr>
      </w:pPr>
      <w:r w:rsidRPr="00C95E16">
        <w:rPr>
          <w:rFonts w:hAnsi="Times New Roman"/>
          <w:szCs w:val="24"/>
          <w:lang w:val="es-AR"/>
        </w:rPr>
        <w:t xml:space="preserve">Esta transformación del escenario local y regional fue una consecuencia de profundas transformaciones en el área de la producción de conocimiento que acompañaron el despliegue del proyecto de globalización neoliberal, que se inicia con el período Reagan-Thatcher y que hoy continúa. La motivación inicial, durante los años setenta, se relaciona con una serie de iniciativa que promueve el gobierno norteamericano con el objetivo de recuperar la competitividad de las firmas norteamericanas en la economía global a partir de un incentivo a las actividades de </w:t>
      </w:r>
      <w:proofErr w:type="spellStart"/>
      <w:r w:rsidRPr="00C95E16">
        <w:rPr>
          <w:rFonts w:hAnsi="Times New Roman"/>
          <w:szCs w:val="24"/>
          <w:lang w:val="es-AR"/>
        </w:rPr>
        <w:t>I+D+i</w:t>
      </w:r>
      <w:proofErr w:type="spellEnd"/>
      <w:r w:rsidRPr="00C95E16">
        <w:rPr>
          <w:rFonts w:hAnsi="Times New Roman"/>
          <w:szCs w:val="24"/>
          <w:lang w:val="es-AR"/>
        </w:rPr>
        <w:t xml:space="preserve"> y de facilitar su enraizamiento con la industria. Estas transformaciones apuntaron principalmente a facilitar la privatización de propiedad intelectual financiada con fondos públicos y a expandir la </w:t>
      </w:r>
      <w:proofErr w:type="spellStart"/>
      <w:r w:rsidRPr="00C95E16">
        <w:rPr>
          <w:rFonts w:hAnsi="Times New Roman"/>
          <w:szCs w:val="24"/>
          <w:lang w:val="es-AR"/>
        </w:rPr>
        <w:t>ingerencia</w:t>
      </w:r>
      <w:proofErr w:type="spellEnd"/>
      <w:r w:rsidRPr="00C95E16">
        <w:rPr>
          <w:rFonts w:hAnsi="Times New Roman"/>
          <w:szCs w:val="24"/>
          <w:lang w:val="es-AR"/>
        </w:rPr>
        <w:t xml:space="preserve"> del gobierno en el impulso del cambio tecnológico. Como parte de las iniciativas que derivaron en la creación de la Organización Mundial de Comercio (OMC) y los acuerdos TRIPS,</w:t>
      </w:r>
      <w:r w:rsidRPr="00C95E16">
        <w:rPr>
          <w:rFonts w:hAnsi="Times New Roman"/>
          <w:szCs w:val="24"/>
          <w:lang w:val="es-ES"/>
        </w:rPr>
        <w:t xml:space="preserve"> se globaliza el sistema de patentes norteamericano (</w:t>
      </w:r>
      <w:r>
        <w:rPr>
          <w:rFonts w:hAnsi="Times New Roman"/>
          <w:szCs w:val="24"/>
          <w:lang w:val="es-ES_tradnl"/>
        </w:rPr>
        <w:t xml:space="preserve">Muñoz </w:t>
      </w:r>
      <w:proofErr w:type="spellStart"/>
      <w:r>
        <w:rPr>
          <w:rFonts w:hAnsi="Times New Roman"/>
          <w:szCs w:val="24"/>
          <w:lang w:val="es-ES_tradnl"/>
        </w:rPr>
        <w:t>Tellez</w:t>
      </w:r>
      <w:proofErr w:type="spellEnd"/>
      <w:r>
        <w:rPr>
          <w:rFonts w:hAnsi="Times New Roman"/>
          <w:szCs w:val="24"/>
          <w:lang w:val="es-ES_tradnl"/>
        </w:rPr>
        <w:t xml:space="preserve">, 2009; </w:t>
      </w:r>
      <w:proofErr w:type="spellStart"/>
      <w:r>
        <w:rPr>
          <w:rFonts w:hAnsi="Times New Roman"/>
          <w:szCs w:val="24"/>
          <w:lang w:val="es-ES_tradnl"/>
        </w:rPr>
        <w:t>Michalopoulos</w:t>
      </w:r>
      <w:proofErr w:type="spellEnd"/>
      <w:r>
        <w:rPr>
          <w:rFonts w:hAnsi="Times New Roman"/>
          <w:szCs w:val="24"/>
          <w:lang w:val="es-ES_tradnl"/>
        </w:rPr>
        <w:t>, 2014: Cap. 7</w:t>
      </w:r>
      <w:r w:rsidRPr="00C95E16">
        <w:rPr>
          <w:rFonts w:hAnsi="Times New Roman"/>
          <w:szCs w:val="24"/>
          <w:lang w:val="es-ES"/>
        </w:rPr>
        <w:t>).</w:t>
      </w:r>
    </w:p>
    <w:p w:rsidR="00E37579" w:rsidRPr="00C95E16" w:rsidRDefault="00E37579" w:rsidP="00EB2ADC">
      <w:pPr>
        <w:pStyle w:val="Predeterminado"/>
        <w:spacing w:line="360" w:lineRule="auto"/>
        <w:ind w:firstLine="1"/>
        <w:jc w:val="both"/>
        <w:rPr>
          <w:rFonts w:hAnsi="Times New Roman"/>
          <w:color w:val="000000"/>
          <w:szCs w:val="24"/>
          <w:lang w:val="es-AR"/>
        </w:rPr>
      </w:pPr>
      <w:r w:rsidRPr="00C95E16">
        <w:rPr>
          <w:rFonts w:hAnsi="Times New Roman"/>
          <w:szCs w:val="24"/>
          <w:lang w:val="es-AR"/>
        </w:rPr>
        <w:t>En 1980, se aprueban dos instrumentos que se proponen facilitar la vinculación academia-industria: la Ley de Transferencia de Tecnología de Stevenson-</w:t>
      </w:r>
      <w:proofErr w:type="spellStart"/>
      <w:r w:rsidRPr="00C95E16">
        <w:rPr>
          <w:rFonts w:hAnsi="Times New Roman"/>
          <w:szCs w:val="24"/>
          <w:lang w:val="es-AR"/>
        </w:rPr>
        <w:t>Wydler</w:t>
      </w:r>
      <w:proofErr w:type="spellEnd"/>
      <w:r w:rsidRPr="00C95E16">
        <w:rPr>
          <w:rFonts w:hAnsi="Times New Roman"/>
          <w:szCs w:val="24"/>
          <w:lang w:val="es-AR"/>
        </w:rPr>
        <w:t xml:space="preserve">, para incentivar la vinculación de los laboratorios públicos con universidades y empresas y para que canalicen fondos en actividades de transferencia de tecnología; y la Enmienda </w:t>
      </w:r>
      <w:proofErr w:type="spellStart"/>
      <w:r w:rsidRPr="00C95E16">
        <w:rPr>
          <w:rFonts w:hAnsi="Times New Roman"/>
          <w:szCs w:val="24"/>
          <w:lang w:val="es-AR"/>
        </w:rPr>
        <w:t>Bayh-Dole</w:t>
      </w:r>
      <w:proofErr w:type="spellEnd"/>
      <w:r w:rsidRPr="00C95E16">
        <w:rPr>
          <w:rFonts w:hAnsi="Times New Roman"/>
          <w:szCs w:val="24"/>
          <w:lang w:val="es-AR"/>
        </w:rPr>
        <w:t xml:space="preserve"> a las leyes de patentes, que allanaba el camino para que universidades y centros de investigación pudieran percibir derechos de propiedad intelectual por trabajos realizados con fondos públicos.</w:t>
      </w:r>
      <w:r w:rsidRPr="00C95E16">
        <w:rPr>
          <w:rFonts w:hAnsi="Times New Roman"/>
          <w:szCs w:val="24"/>
          <w:vertAlign w:val="superscript"/>
          <w:lang w:val="es-AR"/>
        </w:rPr>
        <w:t xml:space="preserve"> </w:t>
      </w:r>
      <w:r w:rsidRPr="00C95E16">
        <w:rPr>
          <w:rFonts w:hAnsi="Times New Roman"/>
          <w:color w:val="000000"/>
          <w:szCs w:val="24"/>
          <w:lang w:val="es-AR"/>
        </w:rPr>
        <w:t xml:space="preserve">En 1984, el Congreso de los Estados Unidos modificó el Acta de Comercio para que los derechos de propiedad intelectual de sus empresas fueran reconocidos </w:t>
      </w:r>
      <w:r w:rsidRPr="00C95E16">
        <w:rPr>
          <w:rFonts w:hAnsi="Times New Roman"/>
          <w:color w:val="000000"/>
          <w:szCs w:val="24"/>
          <w:lang w:val="es-AR"/>
        </w:rPr>
        <w:lastRenderedPageBreak/>
        <w:t xml:space="preserve">en todo el mundo. Esta ley sostenía que el gobierno norteamericano podía tomar medidas económicas y diplomáticas especiales contra los países que violaran las patentes. </w:t>
      </w:r>
      <w:proofErr w:type="spellStart"/>
      <w:r w:rsidRPr="00C95E16">
        <w:rPr>
          <w:rFonts w:hAnsi="Times New Roman"/>
          <w:color w:val="000000"/>
          <w:szCs w:val="24"/>
          <w:lang w:val="en-US"/>
        </w:rPr>
        <w:t>También</w:t>
      </w:r>
      <w:proofErr w:type="spellEnd"/>
      <w:r w:rsidRPr="00C95E16">
        <w:rPr>
          <w:rFonts w:hAnsi="Times New Roman"/>
          <w:color w:val="000000"/>
          <w:szCs w:val="24"/>
          <w:lang w:val="en-US"/>
        </w:rPr>
        <w:t xml:space="preserve"> se </w:t>
      </w:r>
      <w:proofErr w:type="spellStart"/>
      <w:r w:rsidRPr="00C95E16">
        <w:rPr>
          <w:rFonts w:hAnsi="Times New Roman"/>
          <w:color w:val="000000"/>
          <w:szCs w:val="24"/>
          <w:lang w:val="en-US"/>
        </w:rPr>
        <w:t>crearon</w:t>
      </w:r>
      <w:proofErr w:type="spellEnd"/>
      <w:r w:rsidRPr="00C95E16">
        <w:rPr>
          <w:rFonts w:hAnsi="Times New Roman"/>
          <w:color w:val="000000"/>
          <w:szCs w:val="24"/>
          <w:lang w:val="en-US"/>
        </w:rPr>
        <w:t xml:space="preserve"> </w:t>
      </w:r>
      <w:proofErr w:type="spellStart"/>
      <w:r w:rsidRPr="00C95E16">
        <w:rPr>
          <w:rFonts w:hAnsi="Times New Roman"/>
          <w:color w:val="000000"/>
          <w:szCs w:val="24"/>
          <w:lang w:val="en-US"/>
        </w:rPr>
        <w:t>programas</w:t>
      </w:r>
      <w:proofErr w:type="spellEnd"/>
      <w:r w:rsidRPr="00C95E16">
        <w:rPr>
          <w:rFonts w:hAnsi="Times New Roman"/>
          <w:color w:val="000000"/>
          <w:szCs w:val="24"/>
          <w:lang w:val="en-US"/>
        </w:rPr>
        <w:t xml:space="preserve"> </w:t>
      </w:r>
      <w:proofErr w:type="spellStart"/>
      <w:proofErr w:type="gramStart"/>
      <w:r w:rsidRPr="00C95E16">
        <w:rPr>
          <w:rFonts w:hAnsi="Times New Roman"/>
          <w:color w:val="000000"/>
          <w:szCs w:val="24"/>
          <w:lang w:val="en-US"/>
        </w:rPr>
        <w:t>como</w:t>
      </w:r>
      <w:proofErr w:type="spellEnd"/>
      <w:proofErr w:type="gramEnd"/>
      <w:r w:rsidRPr="00C95E16">
        <w:rPr>
          <w:rFonts w:hAnsi="Times New Roman"/>
          <w:color w:val="000000"/>
          <w:szCs w:val="24"/>
          <w:lang w:val="en-US"/>
        </w:rPr>
        <w:t xml:space="preserve"> el </w:t>
      </w:r>
      <w:r w:rsidRPr="00C95E16">
        <w:rPr>
          <w:rFonts w:hAnsi="Times New Roman"/>
          <w:szCs w:val="24"/>
          <w:lang w:val="en-US"/>
        </w:rPr>
        <w:t xml:space="preserve">Small Business Innovation Research (SBIR), Small Business Technology Transfer (STTR), Manufacturing Extension Partnership (MEP), o Advanced Technology </w:t>
      </w:r>
      <w:proofErr w:type="spellStart"/>
      <w:r w:rsidRPr="00C95E16">
        <w:rPr>
          <w:rFonts w:hAnsi="Times New Roman"/>
          <w:szCs w:val="24"/>
          <w:lang w:val="en-US"/>
        </w:rPr>
        <w:t>Programme</w:t>
      </w:r>
      <w:proofErr w:type="spellEnd"/>
      <w:r w:rsidRPr="00C95E16">
        <w:rPr>
          <w:rFonts w:hAnsi="Times New Roman"/>
          <w:szCs w:val="24"/>
          <w:lang w:val="en-US"/>
        </w:rPr>
        <w:t xml:space="preserve"> (ATP). </w:t>
      </w:r>
      <w:r w:rsidRPr="00C95E16">
        <w:rPr>
          <w:rFonts w:hAnsi="Times New Roman"/>
          <w:color w:val="000000"/>
          <w:szCs w:val="24"/>
          <w:lang w:val="es-AR"/>
        </w:rPr>
        <w:t>Estas transformaciones continuaron hasta 1992 (</w:t>
      </w:r>
      <w:proofErr w:type="spellStart"/>
      <w:r w:rsidRPr="00C95E16">
        <w:rPr>
          <w:rFonts w:hAnsi="Times New Roman"/>
          <w:szCs w:val="24"/>
          <w:lang w:val="es-AR"/>
        </w:rPr>
        <w:t>Etzkowitz</w:t>
      </w:r>
      <w:proofErr w:type="spellEnd"/>
      <w:r w:rsidRPr="00C95E16">
        <w:rPr>
          <w:rFonts w:hAnsi="Times New Roman"/>
          <w:szCs w:val="24"/>
          <w:lang w:val="es-AR"/>
        </w:rPr>
        <w:t>, et al., 2000; Block, 2008: 11-14)</w:t>
      </w:r>
      <w:r w:rsidRPr="00C95E16">
        <w:rPr>
          <w:rFonts w:hAnsi="Times New Roman"/>
          <w:color w:val="000000"/>
          <w:szCs w:val="24"/>
          <w:lang w:val="es-AR"/>
        </w:rPr>
        <w:t xml:space="preserve">. </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color w:val="000000"/>
          <w:szCs w:val="24"/>
          <w:lang w:val="es-AR"/>
        </w:rPr>
        <w:t xml:space="preserve">Mientras que, por un lado, las grandes empresas norteamericanas dependen de los subsidios del gobierno de EEUU, de un entorno regulatorio favorable, de apoyo a sus actividades de </w:t>
      </w:r>
      <w:proofErr w:type="spellStart"/>
      <w:r w:rsidRPr="00C95E16">
        <w:rPr>
          <w:rFonts w:hAnsi="Times New Roman"/>
          <w:color w:val="000000"/>
          <w:szCs w:val="24"/>
          <w:lang w:val="es-AR"/>
        </w:rPr>
        <w:t>I+D+i</w:t>
      </w:r>
      <w:proofErr w:type="spellEnd"/>
      <w:r w:rsidRPr="00C95E16">
        <w:rPr>
          <w:rFonts w:hAnsi="Times New Roman"/>
          <w:color w:val="000000"/>
          <w:szCs w:val="24"/>
          <w:lang w:val="es-AR"/>
        </w:rPr>
        <w:t xml:space="preserve">, de protección de la propiedad intelectual y respaldo en sus proyectos de inversión en otros países, por otro lado, todas estas transformaciones son </w:t>
      </w:r>
      <w:proofErr w:type="spellStart"/>
      <w:r w:rsidRPr="00C95E16">
        <w:rPr>
          <w:rFonts w:hAnsi="Times New Roman"/>
          <w:color w:val="000000"/>
          <w:szCs w:val="24"/>
          <w:lang w:val="es-AR"/>
        </w:rPr>
        <w:t>invisibilizadas</w:t>
      </w:r>
      <w:proofErr w:type="spellEnd"/>
      <w:r w:rsidRPr="00C95E16">
        <w:rPr>
          <w:rFonts w:hAnsi="Times New Roman"/>
          <w:color w:val="000000"/>
          <w:szCs w:val="24"/>
          <w:lang w:val="es-AR"/>
        </w:rPr>
        <w:t xml:space="preserve"> por un discurso de fundamentalismo de libre mercado que intenta transmitir que el Estado de las economías centrales no interviene. </w:t>
      </w:r>
      <w:proofErr w:type="spellStart"/>
      <w:r w:rsidRPr="00C95E16">
        <w:rPr>
          <w:rFonts w:hAnsi="Times New Roman"/>
          <w:bCs/>
          <w:szCs w:val="24"/>
          <w:lang w:val="es-AR"/>
        </w:rPr>
        <w:t>Etzkowitz</w:t>
      </w:r>
      <w:proofErr w:type="spellEnd"/>
      <w:r w:rsidRPr="00C95E16">
        <w:rPr>
          <w:rFonts w:hAnsi="Times New Roman"/>
          <w:bCs/>
          <w:szCs w:val="24"/>
          <w:lang w:val="es-AR"/>
        </w:rPr>
        <w:t xml:space="preserve"> et al. (2008: 685) explican que en este escenario dominan</w:t>
      </w:r>
      <w:r w:rsidRPr="00C95E16">
        <w:rPr>
          <w:rFonts w:hAnsi="Times New Roman"/>
          <w:color w:val="000000"/>
          <w:szCs w:val="24"/>
          <w:lang w:val="es-AR"/>
        </w:rPr>
        <w:t xml:space="preserve"> “políticas industriales </w:t>
      </w:r>
      <w:r w:rsidRPr="00C95E16">
        <w:rPr>
          <w:rFonts w:hAnsi="Times New Roman"/>
          <w:i/>
          <w:color w:val="000000"/>
          <w:szCs w:val="24"/>
          <w:lang w:val="es-AR"/>
        </w:rPr>
        <w:t>de facto</w:t>
      </w:r>
      <w:r w:rsidRPr="00C95E16">
        <w:rPr>
          <w:rFonts w:hAnsi="Times New Roman"/>
          <w:color w:val="000000"/>
          <w:szCs w:val="24"/>
          <w:lang w:val="es-AR"/>
        </w:rPr>
        <w:t xml:space="preserve">” y Block (2008) habla de “estado desarrollista oculto”. La consecuencia es un escenario global donde los países centrales refuerzan sus iniciativas de incentivo y protección de sus economías y tienden a </w:t>
      </w:r>
      <w:r w:rsidRPr="00C95E16">
        <w:rPr>
          <w:rFonts w:hAnsi="Times New Roman"/>
          <w:szCs w:val="24"/>
          <w:lang w:val="es-AR"/>
        </w:rPr>
        <w:t>la “privatización del conocimiento” y al creciente endurecimiento de las barreras de acceso a las tecnologías, como contrapunto, mientras exigen desregulación y disolución de las medidas de protección vigentes en las economías de las periferias, incluidos los sectores estratégicos como salud, educación, energía, telecomunicaciones, o defensa.</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szCs w:val="24"/>
          <w:lang w:val="es-ES_tradnl"/>
        </w:rPr>
        <w:t xml:space="preserve">Así, mientras que los países centrales “tardaron </w:t>
      </w:r>
      <w:r w:rsidRPr="00C95E16">
        <w:rPr>
          <w:rFonts w:hAnsi="Times New Roman"/>
          <w:szCs w:val="24"/>
          <w:lang w:val="es-AR"/>
        </w:rPr>
        <w:t>más de dos siglos en diseñar, experimentar e instaurar progresivamente sistemas nacionales de propiedad intelectual”, los países de la periferia “absorbieron sistemas de propiedad intelectual impuestos por el imperio colonial” (</w:t>
      </w:r>
      <w:r w:rsidRPr="00C95E16">
        <w:rPr>
          <w:rFonts w:hAnsi="Times New Roman"/>
          <w:szCs w:val="24"/>
          <w:lang w:val="es-ES_tradnl"/>
        </w:rPr>
        <w:t xml:space="preserve">Muñoz </w:t>
      </w:r>
      <w:proofErr w:type="spellStart"/>
      <w:r w:rsidRPr="00C95E16">
        <w:rPr>
          <w:rFonts w:hAnsi="Times New Roman"/>
          <w:szCs w:val="24"/>
          <w:lang w:val="es-ES_tradnl"/>
        </w:rPr>
        <w:t>Tellez</w:t>
      </w:r>
      <w:proofErr w:type="spellEnd"/>
      <w:r w:rsidRPr="00C95E16">
        <w:rPr>
          <w:rFonts w:hAnsi="Times New Roman"/>
          <w:szCs w:val="24"/>
          <w:lang w:val="es-ES_tradnl"/>
        </w:rPr>
        <w:t>, 2009: 4-5)</w:t>
      </w:r>
      <w:r w:rsidRPr="00C95E16">
        <w:rPr>
          <w:rFonts w:hAnsi="Times New Roman"/>
          <w:szCs w:val="24"/>
          <w:lang w:val="es-AR"/>
        </w:rPr>
        <w:t xml:space="preserve">. La monopolización de los derechos de propiedad intelectual fue considerada un recurso adicional para obstaculizar procesos de acortamiento de la brecha basados en senderos imitativos de industrialización (Correa, 2000: 4). </w:t>
      </w:r>
      <w:r w:rsidRPr="00C95E16">
        <w:rPr>
          <w:rFonts w:hAnsi="Times New Roman"/>
          <w:szCs w:val="24"/>
          <w:lang w:val="es-ES_tradnl"/>
        </w:rPr>
        <w:t xml:space="preserve">Respondiendo a este escenario, durante los años noventa, como parte de la política exterior de alineamiento con EEUU, Argentina también se integró, junto con otros países de la región, al proceso de internacionalización de la propiedad intelectual a través de la reforma de su legislación, incluyendo una ampliación de la protección a nuevos sectores, como los productos farmacéuticos y el software. </w:t>
      </w:r>
      <w:r w:rsidRPr="00C95E16">
        <w:rPr>
          <w:rFonts w:hAnsi="Times New Roman"/>
          <w:szCs w:val="24"/>
          <w:lang w:val="es-AR"/>
        </w:rPr>
        <w:t>L</w:t>
      </w:r>
      <w:r w:rsidRPr="00C95E16">
        <w:rPr>
          <w:rFonts w:hAnsi="Times New Roman"/>
          <w:szCs w:val="24"/>
          <w:lang w:val="es-ES_tradnl"/>
        </w:rPr>
        <w:t>a ley de patentes aprobada en la Argentina en 1995 no estuvo motivada por el objetivo de proteger la propiedad intelectual de sus laboratorios, sino que surgió como parte de las presiones sobre el gobierno argentino para que legislara sobre el pago de regalías a empresas trasnacionales.</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color w:val="000000"/>
          <w:szCs w:val="24"/>
          <w:lang w:val="es-AR"/>
        </w:rPr>
        <w:t xml:space="preserve">En términos más generales, en el terreno de las políticas de </w:t>
      </w:r>
      <w:proofErr w:type="spellStart"/>
      <w:r w:rsidRPr="00C95E16">
        <w:rPr>
          <w:rFonts w:hAnsi="Times New Roman"/>
          <w:color w:val="000000"/>
          <w:szCs w:val="24"/>
          <w:lang w:val="es-AR"/>
        </w:rPr>
        <w:t>I+D+i</w:t>
      </w:r>
      <w:proofErr w:type="spellEnd"/>
      <w:r w:rsidRPr="00C95E16">
        <w:rPr>
          <w:rFonts w:hAnsi="Times New Roman"/>
          <w:color w:val="000000"/>
          <w:szCs w:val="24"/>
          <w:lang w:val="es-AR"/>
        </w:rPr>
        <w:t xml:space="preserve">, se naturalizó </w:t>
      </w:r>
      <w:r w:rsidRPr="00C95E16">
        <w:rPr>
          <w:rFonts w:hAnsi="Times New Roman"/>
          <w:bCs/>
          <w:szCs w:val="24"/>
          <w:lang w:val="es-AR"/>
        </w:rPr>
        <w:t>un tip</w:t>
      </w:r>
      <w:r w:rsidRPr="00C95E16">
        <w:rPr>
          <w:rFonts w:hAnsi="Times New Roman"/>
          <w:szCs w:val="24"/>
          <w:lang w:val="es-AR"/>
        </w:rPr>
        <w:t xml:space="preserve">o de diagnóstico general sobre el desarrollo de la ciencia y la tecnología en América latina estructurado por dos nociones: la de “modelo lineal de innovación” y la de “sistema nacional de innovación”. Una versión simplificada de este tipo de diagnósticos, podría parafrasearse así: </w:t>
      </w:r>
    </w:p>
    <w:p w:rsidR="00E37579" w:rsidRPr="00C95E16" w:rsidRDefault="00E37579" w:rsidP="002B59F1">
      <w:pPr>
        <w:pStyle w:val="Predeterminado"/>
        <w:spacing w:line="360" w:lineRule="auto"/>
        <w:ind w:left="1134" w:right="1134"/>
        <w:jc w:val="both"/>
        <w:rPr>
          <w:rFonts w:hAnsi="Times New Roman"/>
          <w:szCs w:val="24"/>
          <w:lang w:val="es-AR"/>
        </w:rPr>
      </w:pPr>
      <w:r w:rsidRPr="00C95E16">
        <w:rPr>
          <w:rFonts w:hAnsi="Times New Roman"/>
          <w:szCs w:val="24"/>
          <w:lang w:val="es-AR"/>
        </w:rPr>
        <w:lastRenderedPageBreak/>
        <w:t xml:space="preserve">“La debilidad de las actividades de </w:t>
      </w:r>
      <w:proofErr w:type="spellStart"/>
      <w:r w:rsidRPr="00C95E16">
        <w:rPr>
          <w:rFonts w:hAnsi="Times New Roman"/>
          <w:szCs w:val="24"/>
          <w:lang w:val="es-AR"/>
        </w:rPr>
        <w:t>I+D+i</w:t>
      </w:r>
      <w:proofErr w:type="spellEnd"/>
      <w:r w:rsidRPr="00C95E16">
        <w:rPr>
          <w:rFonts w:hAnsi="Times New Roman"/>
          <w:szCs w:val="24"/>
          <w:lang w:val="es-AR"/>
        </w:rPr>
        <w:t xml:space="preserve"> de los países de América latina se explica en buena medida por la implementación del ‘modelo lineal de innovación’. Esta visión ingenua –que supone una posición ‘</w:t>
      </w:r>
      <w:proofErr w:type="spellStart"/>
      <w:r w:rsidRPr="00C95E16">
        <w:rPr>
          <w:rFonts w:hAnsi="Times New Roman"/>
          <w:szCs w:val="24"/>
          <w:lang w:val="es-AR"/>
        </w:rPr>
        <w:t>ofertista</w:t>
      </w:r>
      <w:proofErr w:type="spellEnd"/>
      <w:r w:rsidRPr="00C95E16">
        <w:rPr>
          <w:rFonts w:hAnsi="Times New Roman"/>
          <w:szCs w:val="24"/>
          <w:lang w:val="es-AR"/>
        </w:rPr>
        <w:t xml:space="preserve">’ en la producción de conocimiento– debe ser reemplazada por conceptualizaciones más realistas, que incorporen la compleja trama de elementos e interacciones (no lineales) propios de los procesos de innovación. La noción de ‘sistema nacional de innovación’ supone una aproximación más adecuada y debe ser el punto de partida para la formulación de las políticas de </w:t>
      </w:r>
      <w:proofErr w:type="spellStart"/>
      <w:r w:rsidRPr="00C95E16">
        <w:rPr>
          <w:rFonts w:hAnsi="Times New Roman"/>
          <w:szCs w:val="24"/>
          <w:lang w:val="es-AR"/>
        </w:rPr>
        <w:t>I+D+i</w:t>
      </w:r>
      <w:proofErr w:type="spellEnd"/>
      <w:r w:rsidRPr="00C95E16">
        <w:rPr>
          <w:rFonts w:hAnsi="Times New Roman"/>
          <w:szCs w:val="24"/>
          <w:lang w:val="es-AR"/>
        </w:rPr>
        <w:t xml:space="preserve"> para los países de la región” (Hurtado y </w:t>
      </w:r>
      <w:proofErr w:type="spellStart"/>
      <w:r w:rsidRPr="00C95E16">
        <w:rPr>
          <w:rFonts w:hAnsi="Times New Roman"/>
          <w:szCs w:val="24"/>
          <w:lang w:val="es-AR"/>
        </w:rPr>
        <w:t>Mallo</w:t>
      </w:r>
      <w:proofErr w:type="spellEnd"/>
      <w:r w:rsidRPr="00C95E16">
        <w:rPr>
          <w:rFonts w:hAnsi="Times New Roman"/>
          <w:szCs w:val="24"/>
          <w:lang w:val="es-AR"/>
        </w:rPr>
        <w:t>, 2013).</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szCs w:val="24"/>
          <w:lang w:val="es-AR"/>
        </w:rPr>
        <w:t xml:space="preserve">En un artículo de enorme circulación de </w:t>
      </w:r>
      <w:proofErr w:type="spellStart"/>
      <w:r w:rsidRPr="00C95E16">
        <w:rPr>
          <w:rFonts w:hAnsi="Times New Roman"/>
          <w:szCs w:val="24"/>
          <w:lang w:val="es-AR"/>
        </w:rPr>
        <w:t>Katz</w:t>
      </w:r>
      <w:proofErr w:type="spellEnd"/>
      <w:r w:rsidRPr="00C95E16">
        <w:rPr>
          <w:rFonts w:hAnsi="Times New Roman"/>
          <w:szCs w:val="24"/>
          <w:lang w:val="es-AR"/>
        </w:rPr>
        <w:t xml:space="preserve"> y </w:t>
      </w:r>
      <w:proofErr w:type="spellStart"/>
      <w:r w:rsidRPr="00C95E16">
        <w:rPr>
          <w:rFonts w:hAnsi="Times New Roman"/>
          <w:szCs w:val="24"/>
          <w:lang w:val="es-AR"/>
        </w:rPr>
        <w:t>Bercovich</w:t>
      </w:r>
      <w:proofErr w:type="spellEnd"/>
      <w:r w:rsidRPr="00C95E16">
        <w:rPr>
          <w:rFonts w:hAnsi="Times New Roman"/>
          <w:szCs w:val="24"/>
          <w:lang w:val="es-AR"/>
        </w:rPr>
        <w:t xml:space="preserve">, publicado en el libro titulado </w:t>
      </w:r>
      <w:proofErr w:type="spellStart"/>
      <w:r w:rsidRPr="00C95E16">
        <w:rPr>
          <w:rFonts w:hAnsi="Times New Roman"/>
          <w:i/>
          <w:szCs w:val="24"/>
          <w:lang w:val="es-AR"/>
        </w:rPr>
        <w:t>National</w:t>
      </w:r>
      <w:proofErr w:type="spellEnd"/>
      <w:r w:rsidRPr="00C95E16">
        <w:rPr>
          <w:rFonts w:hAnsi="Times New Roman"/>
          <w:i/>
          <w:szCs w:val="24"/>
          <w:lang w:val="es-AR"/>
        </w:rPr>
        <w:t xml:space="preserve"> </w:t>
      </w:r>
      <w:proofErr w:type="spellStart"/>
      <w:r w:rsidRPr="00C95E16">
        <w:rPr>
          <w:rFonts w:hAnsi="Times New Roman"/>
          <w:i/>
          <w:szCs w:val="24"/>
          <w:lang w:val="es-AR"/>
        </w:rPr>
        <w:t>Systems</w:t>
      </w:r>
      <w:proofErr w:type="spellEnd"/>
      <w:r w:rsidRPr="00C95E16">
        <w:rPr>
          <w:rFonts w:hAnsi="Times New Roman"/>
          <w:i/>
          <w:szCs w:val="24"/>
          <w:lang w:val="es-AR"/>
        </w:rPr>
        <w:t xml:space="preserve"> of </w:t>
      </w:r>
      <w:proofErr w:type="spellStart"/>
      <w:r w:rsidRPr="00C95E16">
        <w:rPr>
          <w:rFonts w:hAnsi="Times New Roman"/>
          <w:i/>
          <w:szCs w:val="24"/>
          <w:lang w:val="es-AR"/>
        </w:rPr>
        <w:t>Innovation</w:t>
      </w:r>
      <w:proofErr w:type="spellEnd"/>
      <w:r w:rsidRPr="00C95E16">
        <w:rPr>
          <w:rFonts w:hAnsi="Times New Roman"/>
          <w:i/>
          <w:szCs w:val="24"/>
          <w:lang w:val="es-AR"/>
        </w:rPr>
        <w:t xml:space="preserve">. A </w:t>
      </w:r>
      <w:proofErr w:type="spellStart"/>
      <w:r w:rsidRPr="00C95E16">
        <w:rPr>
          <w:rFonts w:hAnsi="Times New Roman"/>
          <w:i/>
          <w:szCs w:val="24"/>
          <w:lang w:val="es-AR"/>
        </w:rPr>
        <w:t>Comparative</w:t>
      </w:r>
      <w:proofErr w:type="spellEnd"/>
      <w:r w:rsidRPr="00C95E16">
        <w:rPr>
          <w:rFonts w:hAnsi="Times New Roman"/>
          <w:i/>
          <w:szCs w:val="24"/>
          <w:lang w:val="es-AR"/>
        </w:rPr>
        <w:t xml:space="preserve"> </w:t>
      </w:r>
      <w:proofErr w:type="spellStart"/>
      <w:r w:rsidRPr="00C95E16">
        <w:rPr>
          <w:rFonts w:hAnsi="Times New Roman"/>
          <w:i/>
          <w:szCs w:val="24"/>
          <w:lang w:val="es-AR"/>
        </w:rPr>
        <w:t>Analysis</w:t>
      </w:r>
      <w:proofErr w:type="spellEnd"/>
      <w:r w:rsidRPr="00C95E16">
        <w:rPr>
          <w:rFonts w:hAnsi="Times New Roman"/>
          <w:szCs w:val="24"/>
          <w:lang w:val="es-AR"/>
        </w:rPr>
        <w:t>, editado por Richard Nelson, los autores intentan aplicar a la Argentina la noción de sistema nacional de innovación (SIN). Refiriéndose a “las actividades de I+D y de generación de conocimiento realizadas por las agencias de investigación y universidades del sector público, empresas públicas descentralizadas y las fuerzas armadas”, sostienen en la introducción: “Prestamos atención a las diversas ideologías y lobbies políticos y militares que de una u otra manera influenciaron la algo caótica evolución de esta parte importante del sistema nacional de innovación argentino”. Y al comienzo de la última sección, afirman: “Un cuidadoso examen del sistema nacional de innovación argentino muestra que el país está lejos de tener una red integrada y coherente de agentes, instituciones y políticas dedicadas a cuestiones de generación, difusión y empleo de conocimiento científico y tecnológico” (</w:t>
      </w:r>
      <w:proofErr w:type="spellStart"/>
      <w:r w:rsidRPr="00C95E16">
        <w:rPr>
          <w:rFonts w:hAnsi="Times New Roman"/>
          <w:szCs w:val="24"/>
          <w:lang w:val="es-AR"/>
        </w:rPr>
        <w:t>Katz</w:t>
      </w:r>
      <w:proofErr w:type="spellEnd"/>
      <w:r w:rsidRPr="00C95E16">
        <w:rPr>
          <w:rFonts w:hAnsi="Times New Roman"/>
          <w:szCs w:val="24"/>
          <w:lang w:val="es-AR"/>
        </w:rPr>
        <w:t xml:space="preserve"> y </w:t>
      </w:r>
      <w:proofErr w:type="spellStart"/>
      <w:r w:rsidRPr="00C95E16">
        <w:rPr>
          <w:rFonts w:hAnsi="Times New Roman"/>
          <w:szCs w:val="24"/>
          <w:lang w:val="es-AR"/>
        </w:rPr>
        <w:t>Bercovich</w:t>
      </w:r>
      <w:proofErr w:type="spellEnd"/>
      <w:r w:rsidRPr="00C95E16">
        <w:rPr>
          <w:rFonts w:hAnsi="Times New Roman"/>
          <w:szCs w:val="24"/>
          <w:lang w:val="es-AR"/>
        </w:rPr>
        <w:t xml:space="preserve">, 1993: 452, 470). Si se tiene en cuenta que la definición más amplia de </w:t>
      </w:r>
      <w:r w:rsidRPr="00C95E16">
        <w:rPr>
          <w:rFonts w:hAnsi="Times New Roman"/>
          <w:i/>
          <w:szCs w:val="24"/>
          <w:lang w:val="es-AR"/>
        </w:rPr>
        <w:t>sistema</w:t>
      </w:r>
      <w:r w:rsidRPr="00C95E16">
        <w:rPr>
          <w:rFonts w:hAnsi="Times New Roman"/>
          <w:szCs w:val="24"/>
          <w:lang w:val="es-AR"/>
        </w:rPr>
        <w:t xml:space="preserve"> es “todo lo que no sea caótico” (</w:t>
      </w:r>
      <w:proofErr w:type="spellStart"/>
      <w:r w:rsidRPr="00C95E16">
        <w:rPr>
          <w:rFonts w:hAnsi="Times New Roman"/>
          <w:szCs w:val="24"/>
          <w:lang w:val="es-AR"/>
        </w:rPr>
        <w:t>Boulding</w:t>
      </w:r>
      <w:proofErr w:type="spellEnd"/>
      <w:r w:rsidRPr="00C95E16">
        <w:rPr>
          <w:rFonts w:hAnsi="Times New Roman"/>
          <w:szCs w:val="24"/>
          <w:lang w:val="es-AR"/>
        </w:rPr>
        <w:t xml:space="preserve">, 1985), de la caracterización de </w:t>
      </w:r>
      <w:proofErr w:type="spellStart"/>
      <w:r w:rsidRPr="00C95E16">
        <w:rPr>
          <w:rFonts w:hAnsi="Times New Roman"/>
          <w:szCs w:val="24"/>
          <w:lang w:val="es-AR"/>
        </w:rPr>
        <w:t>Katz</w:t>
      </w:r>
      <w:proofErr w:type="spellEnd"/>
      <w:r w:rsidRPr="00C95E16">
        <w:rPr>
          <w:rFonts w:hAnsi="Times New Roman"/>
          <w:szCs w:val="24"/>
          <w:lang w:val="es-AR"/>
        </w:rPr>
        <w:t xml:space="preserve"> y </w:t>
      </w:r>
      <w:proofErr w:type="spellStart"/>
      <w:r w:rsidRPr="00C95E16">
        <w:rPr>
          <w:rFonts w:hAnsi="Times New Roman"/>
          <w:szCs w:val="24"/>
          <w:lang w:val="es-AR"/>
        </w:rPr>
        <w:t>Bercovich</w:t>
      </w:r>
      <w:proofErr w:type="spellEnd"/>
      <w:r w:rsidRPr="00C95E16">
        <w:rPr>
          <w:rFonts w:hAnsi="Times New Roman"/>
          <w:szCs w:val="24"/>
          <w:lang w:val="es-AR"/>
        </w:rPr>
        <w:t xml:space="preserve"> parece deducirse que en la Argentina no puede hablarse de un SNI.</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szCs w:val="24"/>
          <w:lang w:val="es-AR"/>
        </w:rPr>
        <w:t>No solo desde el sector académico, sino también los formuladores de políticas presentaron el concepto de SNI como la opción superadora para América latina. Una publicación del BID explica que “la región colectivamente tiene que fortalecer sus sistemas nacionales de innovación (SNI) y tratar de vincularlos con la sociedad mundial del saber”, aunque aclara con referencia al propio concepto de SNI, que se trata de “un término que ahora se emplea con mucha frecuencia en la bibliografía (aunque no siempre se comprende bien)” (</w:t>
      </w:r>
      <w:r>
        <w:rPr>
          <w:rFonts w:hAnsi="Times New Roman"/>
          <w:szCs w:val="24"/>
          <w:lang w:val="es-AR"/>
        </w:rPr>
        <w:t xml:space="preserve">De </w:t>
      </w:r>
      <w:proofErr w:type="spellStart"/>
      <w:r w:rsidRPr="00C95E16">
        <w:rPr>
          <w:rFonts w:hAnsi="Times New Roman"/>
          <w:szCs w:val="24"/>
          <w:lang w:val="es-AR"/>
        </w:rPr>
        <w:t>Moura</w:t>
      </w:r>
      <w:proofErr w:type="spellEnd"/>
      <w:r w:rsidRPr="00C95E16">
        <w:rPr>
          <w:rFonts w:hAnsi="Times New Roman"/>
          <w:szCs w:val="24"/>
          <w:lang w:val="es-AR"/>
        </w:rPr>
        <w:t xml:space="preserve"> Castro et al., 2000: 2, 5).</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szCs w:val="24"/>
          <w:lang w:val="es-AR"/>
        </w:rPr>
        <w:t xml:space="preserve">Ahora bien, no se trata del mero uso de un término. Lo crucial de este asunto es ver cuáles son las condiciones de aplicabilidad de la noción de SNI, qué cosas presupone este concepto. Como sostienen </w:t>
      </w:r>
      <w:proofErr w:type="spellStart"/>
      <w:r w:rsidRPr="00C95E16">
        <w:rPr>
          <w:rFonts w:hAnsi="Times New Roman"/>
          <w:szCs w:val="24"/>
          <w:lang w:val="es-AR"/>
        </w:rPr>
        <w:t>Arocena</w:t>
      </w:r>
      <w:proofErr w:type="spellEnd"/>
      <w:r w:rsidRPr="00C95E16">
        <w:rPr>
          <w:rFonts w:hAnsi="Times New Roman"/>
          <w:szCs w:val="24"/>
          <w:lang w:val="es-AR"/>
        </w:rPr>
        <w:t xml:space="preserve"> y </w:t>
      </w:r>
      <w:proofErr w:type="spellStart"/>
      <w:r w:rsidRPr="00C95E16">
        <w:rPr>
          <w:rFonts w:hAnsi="Times New Roman"/>
          <w:szCs w:val="24"/>
          <w:lang w:val="es-AR"/>
        </w:rPr>
        <w:t>Sutz</w:t>
      </w:r>
      <w:proofErr w:type="spellEnd"/>
      <w:r w:rsidRPr="00C95E16">
        <w:rPr>
          <w:rFonts w:hAnsi="Times New Roman"/>
          <w:szCs w:val="24"/>
          <w:lang w:val="es-AR"/>
        </w:rPr>
        <w:t xml:space="preserve"> (2000): “</w:t>
      </w:r>
      <w:proofErr w:type="spellStart"/>
      <w:r w:rsidRPr="00C95E16">
        <w:rPr>
          <w:rFonts w:hAnsi="Times New Roman"/>
          <w:i/>
          <w:szCs w:val="24"/>
          <w:lang w:val="es-AR"/>
        </w:rPr>
        <w:t>SNIs</w:t>
      </w:r>
      <w:proofErr w:type="spellEnd"/>
      <w:r w:rsidRPr="00C95E16">
        <w:rPr>
          <w:rFonts w:hAnsi="Times New Roman"/>
          <w:i/>
          <w:szCs w:val="24"/>
          <w:lang w:val="es-AR"/>
        </w:rPr>
        <w:t xml:space="preserve"> es un concepto ‘ex-post’</w:t>
      </w:r>
      <w:r w:rsidRPr="00C95E16">
        <w:rPr>
          <w:rFonts w:hAnsi="Times New Roman"/>
          <w:szCs w:val="24"/>
          <w:lang w:val="es-AR"/>
        </w:rPr>
        <w:t xml:space="preserve">, esto es, un concepto construido sobre estudios empíricos que muestran patrones similares” (itálica en el original). Y aclaran que la evidencia empírica que respalda la elaboración y eficacia del concepto de SNI está tomada de países europeos. </w:t>
      </w:r>
    </w:p>
    <w:p w:rsidR="00E37579" w:rsidRPr="00C95E16" w:rsidRDefault="00E37579" w:rsidP="00EB2ADC">
      <w:pPr>
        <w:pStyle w:val="Predeterminado"/>
        <w:spacing w:line="360" w:lineRule="auto"/>
        <w:ind w:firstLine="1"/>
        <w:jc w:val="both"/>
        <w:rPr>
          <w:rFonts w:hAnsi="Times New Roman"/>
          <w:szCs w:val="24"/>
          <w:lang w:val="es-AR"/>
        </w:rPr>
      </w:pPr>
      <w:r w:rsidRPr="00C95E16">
        <w:rPr>
          <w:rFonts w:hAnsi="Times New Roman"/>
          <w:szCs w:val="24"/>
          <w:lang w:val="es-AR"/>
        </w:rPr>
        <w:lastRenderedPageBreak/>
        <w:t xml:space="preserve">Reforzando esta apreciación, en una revisión crítica de la trayectoria de la noción de SNI, con referencia a su libro de 1992 –junto con el citado de Nelson, obra fundacional en la elaboración y difusión del concepto–, </w:t>
      </w:r>
      <w:proofErr w:type="spellStart"/>
      <w:r w:rsidRPr="00C95E16">
        <w:rPr>
          <w:rFonts w:hAnsi="Times New Roman"/>
          <w:szCs w:val="24"/>
          <w:lang w:val="es-AR"/>
        </w:rPr>
        <w:t>Bengt-Åke</w:t>
      </w:r>
      <w:proofErr w:type="spellEnd"/>
      <w:r w:rsidRPr="00C95E16">
        <w:rPr>
          <w:rFonts w:hAnsi="Times New Roman"/>
          <w:szCs w:val="24"/>
          <w:lang w:val="es-AR"/>
        </w:rPr>
        <w:t xml:space="preserve"> </w:t>
      </w:r>
      <w:proofErr w:type="spellStart"/>
      <w:r w:rsidRPr="00C95E16">
        <w:rPr>
          <w:rFonts w:hAnsi="Times New Roman"/>
          <w:szCs w:val="24"/>
          <w:lang w:val="es-AR"/>
        </w:rPr>
        <w:t>Lundvall</w:t>
      </w:r>
      <w:proofErr w:type="spellEnd"/>
      <w:r w:rsidRPr="00C95E16">
        <w:rPr>
          <w:rFonts w:hAnsi="Times New Roman"/>
          <w:szCs w:val="24"/>
          <w:lang w:val="es-AR"/>
        </w:rPr>
        <w:t xml:space="preserve"> sostiene: “La mayoría de los capítulos del presente volumen no tratan el sistema de innovación como un concepto </w:t>
      </w:r>
      <w:r w:rsidRPr="00C95E16">
        <w:rPr>
          <w:rFonts w:hAnsi="Times New Roman"/>
          <w:i/>
          <w:szCs w:val="24"/>
          <w:lang w:val="es-AR"/>
        </w:rPr>
        <w:t>ex-ante</w:t>
      </w:r>
      <w:r w:rsidRPr="00C95E16">
        <w:rPr>
          <w:rFonts w:hAnsi="Times New Roman"/>
          <w:szCs w:val="24"/>
          <w:lang w:val="es-AR"/>
        </w:rPr>
        <w:t xml:space="preserve">, sino </w:t>
      </w:r>
      <w:r w:rsidRPr="00C95E16">
        <w:rPr>
          <w:rFonts w:hAnsi="Times New Roman"/>
          <w:i/>
          <w:szCs w:val="24"/>
          <w:lang w:val="es-AR"/>
        </w:rPr>
        <w:t>ex-post</w:t>
      </w:r>
      <w:r w:rsidRPr="00C95E16">
        <w:rPr>
          <w:rFonts w:hAnsi="Times New Roman"/>
          <w:szCs w:val="24"/>
          <w:lang w:val="es-AR"/>
        </w:rPr>
        <w:t xml:space="preserve">. El concepto remite a sistemas relativamente fuertes y diversificados que cuentan con buen apoyo institucional y de infraestructura para las actividades de innovación”. En cuanto a su aplicación a los países en desarrollo, </w:t>
      </w:r>
      <w:proofErr w:type="spellStart"/>
      <w:r w:rsidRPr="00C95E16">
        <w:rPr>
          <w:rFonts w:hAnsi="Times New Roman"/>
          <w:szCs w:val="24"/>
          <w:lang w:val="es-AR"/>
        </w:rPr>
        <w:t>Lundvall</w:t>
      </w:r>
      <w:proofErr w:type="spellEnd"/>
      <w:r w:rsidRPr="00C95E16">
        <w:rPr>
          <w:rFonts w:hAnsi="Times New Roman"/>
          <w:szCs w:val="24"/>
          <w:lang w:val="es-AR"/>
        </w:rPr>
        <w:t xml:space="preserve"> reconoce serias limitaciones: “Otra debilidad del enfoque de los sistemas de innovación radica en que hasta el momento no se ha ocupado de las cuestiones de poder en relación con el desarrollo [...] Los privilegios de clase y la situación poscolonial pueden bloquear las posibilidades de aprendizaje; asimismo, competencias ya existentes podrían ser destruidas por motivos políticos vinculados con la distribución mundial de poder” (</w:t>
      </w:r>
      <w:proofErr w:type="spellStart"/>
      <w:r w:rsidRPr="00C95E16">
        <w:rPr>
          <w:rFonts w:hAnsi="Times New Roman"/>
          <w:szCs w:val="24"/>
          <w:lang w:val="es-AR"/>
        </w:rPr>
        <w:t>Lundvall</w:t>
      </w:r>
      <w:proofErr w:type="spellEnd"/>
      <w:r w:rsidRPr="00C95E16">
        <w:rPr>
          <w:rFonts w:hAnsi="Times New Roman"/>
          <w:szCs w:val="24"/>
          <w:lang w:val="es-AR"/>
        </w:rPr>
        <w:t>, 2009: 380-381).</w:t>
      </w:r>
    </w:p>
    <w:p w:rsidR="00E37579" w:rsidRPr="00C95E16" w:rsidRDefault="00E37579" w:rsidP="00EB2ADC">
      <w:pPr>
        <w:pStyle w:val="Predeterminado"/>
        <w:spacing w:line="360" w:lineRule="auto"/>
        <w:jc w:val="both"/>
        <w:rPr>
          <w:rFonts w:hAnsi="Times New Roman"/>
          <w:color w:val="000000"/>
          <w:szCs w:val="24"/>
          <w:lang w:val="es-AR"/>
        </w:rPr>
      </w:pPr>
      <w:r w:rsidRPr="00C95E16">
        <w:rPr>
          <w:rFonts w:hAnsi="Times New Roman"/>
          <w:szCs w:val="24"/>
          <w:lang w:val="es-AR"/>
        </w:rPr>
        <w:t xml:space="preserve">A modo de síntesis, digamos que, a diferencia de las economías neoliberales centrales que, mientras promueven una retórica de fundamentalismo de libre mercado, apuntalan el dinamismo económico con una batería de iniciativas públicas de protección, incentivo y creación de nuevos sectores, el fundamentalismo de libre mercado que se despliega en las periferias disuelve las responsabilidades del Estado en el campo del conocimiento y reorienta el campo científico-tecnológico bajo la guía de un conjunto de conceptos y consignas que promueven que los institutos, laboratorios o grupos de </w:t>
      </w:r>
      <w:proofErr w:type="spellStart"/>
      <w:r w:rsidRPr="00C95E16">
        <w:rPr>
          <w:rFonts w:hAnsi="Times New Roman"/>
          <w:szCs w:val="24"/>
          <w:lang w:val="es-AR"/>
        </w:rPr>
        <w:t>I+D+i</w:t>
      </w:r>
      <w:proofErr w:type="spellEnd"/>
      <w:r w:rsidRPr="00C95E16">
        <w:rPr>
          <w:rFonts w:hAnsi="Times New Roman"/>
          <w:szCs w:val="24"/>
          <w:lang w:val="es-AR"/>
        </w:rPr>
        <w:t xml:space="preserve"> públicos deben gestionar sus propios “negocios” y autofinanciarse. En este contexto, se intentan reemplazar las políticas ausentes de industria y de ciencia y tecnología con la promoción del “</w:t>
      </w:r>
      <w:proofErr w:type="spellStart"/>
      <w:r w:rsidRPr="00C95E16">
        <w:rPr>
          <w:rFonts w:hAnsi="Times New Roman"/>
          <w:szCs w:val="24"/>
          <w:lang w:val="es-AR"/>
        </w:rPr>
        <w:t>emprendedorismo</w:t>
      </w:r>
      <w:proofErr w:type="spellEnd"/>
      <w:r w:rsidRPr="00C95E16">
        <w:rPr>
          <w:rFonts w:hAnsi="Times New Roman"/>
          <w:szCs w:val="24"/>
          <w:lang w:val="es-AR"/>
        </w:rPr>
        <w:t xml:space="preserve">”, variante neoliberal que se enfoca en el éxito individual como respuesta a un escenario de disgregación social y económica. El objetivo final es reemplazar el paradigma del desarrollo económico y social como empresa colectiva y solidaria por un voluntarismo </w:t>
      </w:r>
      <w:proofErr w:type="spellStart"/>
      <w:r w:rsidRPr="00C95E16">
        <w:rPr>
          <w:rFonts w:hAnsi="Times New Roman"/>
          <w:szCs w:val="24"/>
          <w:lang w:val="es-AR"/>
        </w:rPr>
        <w:t>solipsista</w:t>
      </w:r>
      <w:proofErr w:type="spellEnd"/>
      <w:r w:rsidRPr="00C95E16">
        <w:rPr>
          <w:rFonts w:hAnsi="Times New Roman"/>
          <w:szCs w:val="24"/>
          <w:lang w:val="es-AR"/>
        </w:rPr>
        <w:t xml:space="preserve"> fundado en variantes de pensamiento místico que promueve una “espiritualidad” mercantil y predatoria. Su legitimación suele estar fundada en gurúes extranjeros y </w:t>
      </w:r>
      <w:proofErr w:type="spellStart"/>
      <w:r w:rsidRPr="00C95E16">
        <w:rPr>
          <w:rFonts w:hAnsi="Times New Roman"/>
          <w:szCs w:val="24"/>
          <w:lang w:val="es-AR"/>
        </w:rPr>
        <w:t>pseudo</w:t>
      </w:r>
      <w:proofErr w:type="spellEnd"/>
      <w:r w:rsidRPr="00C95E16">
        <w:rPr>
          <w:rFonts w:hAnsi="Times New Roman"/>
          <w:szCs w:val="24"/>
          <w:lang w:val="es-AR"/>
        </w:rPr>
        <w:t>-ciencia. La cultura del “</w:t>
      </w:r>
      <w:proofErr w:type="spellStart"/>
      <w:r w:rsidRPr="00C95E16">
        <w:rPr>
          <w:rFonts w:hAnsi="Times New Roman"/>
          <w:szCs w:val="24"/>
          <w:lang w:val="es-AR"/>
        </w:rPr>
        <w:t>emprendedorismo</w:t>
      </w:r>
      <w:proofErr w:type="spellEnd"/>
      <w:r w:rsidRPr="00C95E16">
        <w:rPr>
          <w:rFonts w:hAnsi="Times New Roman"/>
          <w:szCs w:val="24"/>
          <w:lang w:val="es-AR"/>
        </w:rPr>
        <w:t xml:space="preserve">”, las consultorías, los </w:t>
      </w:r>
      <w:proofErr w:type="spellStart"/>
      <w:r w:rsidRPr="00C95E16">
        <w:rPr>
          <w:rFonts w:hAnsi="Times New Roman"/>
          <w:i/>
          <w:szCs w:val="24"/>
          <w:lang w:val="es-AR"/>
        </w:rPr>
        <w:t>think</w:t>
      </w:r>
      <w:proofErr w:type="spellEnd"/>
      <w:r w:rsidRPr="00C95E16">
        <w:rPr>
          <w:rFonts w:hAnsi="Times New Roman"/>
          <w:i/>
          <w:szCs w:val="24"/>
          <w:lang w:val="es-AR"/>
        </w:rPr>
        <w:t xml:space="preserve"> </w:t>
      </w:r>
      <w:proofErr w:type="spellStart"/>
      <w:r w:rsidRPr="00C95E16">
        <w:rPr>
          <w:rFonts w:hAnsi="Times New Roman"/>
          <w:i/>
          <w:szCs w:val="24"/>
          <w:lang w:val="es-AR"/>
        </w:rPr>
        <w:t>tanks</w:t>
      </w:r>
      <w:proofErr w:type="spellEnd"/>
      <w:r w:rsidRPr="00C95E16">
        <w:rPr>
          <w:rFonts w:hAnsi="Times New Roman"/>
          <w:szCs w:val="24"/>
          <w:lang w:val="es-AR"/>
        </w:rPr>
        <w:t xml:space="preserve"> y diversas modalidades de “agencias de análisis” se proponen reemplazar formas tradicionales de producción de conocimiento, que son estigmatizadas como anacrónicas—aunque persisten y evolucionan en las economías centrales—, escenario que supone una “</w:t>
      </w:r>
      <w:proofErr w:type="spellStart"/>
      <w:r w:rsidRPr="00C95E16">
        <w:rPr>
          <w:rFonts w:hAnsi="Times New Roman"/>
          <w:szCs w:val="24"/>
          <w:lang w:val="es-AR"/>
        </w:rPr>
        <w:t>desjerarquización</w:t>
      </w:r>
      <w:proofErr w:type="spellEnd"/>
      <w:r w:rsidRPr="00C95E16">
        <w:rPr>
          <w:rFonts w:hAnsi="Times New Roman"/>
          <w:szCs w:val="24"/>
          <w:lang w:val="es-AR"/>
        </w:rPr>
        <w:t>” del mundo académico (</w:t>
      </w:r>
      <w:proofErr w:type="spellStart"/>
      <w:r w:rsidRPr="00C95E16">
        <w:rPr>
          <w:rFonts w:hAnsi="Times New Roman"/>
          <w:szCs w:val="24"/>
          <w:lang w:val="es-AR"/>
        </w:rPr>
        <w:t>Rubinich</w:t>
      </w:r>
      <w:proofErr w:type="spellEnd"/>
      <w:r w:rsidRPr="00C95E16">
        <w:rPr>
          <w:rFonts w:hAnsi="Times New Roman"/>
          <w:szCs w:val="24"/>
          <w:lang w:val="es-AR"/>
        </w:rPr>
        <w:t>, 2001: 63-64).</w:t>
      </w:r>
    </w:p>
    <w:p w:rsidR="00E37579" w:rsidRPr="00722093" w:rsidRDefault="00E37579" w:rsidP="00EB2ADC">
      <w:pPr>
        <w:pStyle w:val="Predeterminado"/>
        <w:spacing w:line="360" w:lineRule="auto"/>
        <w:jc w:val="both"/>
        <w:rPr>
          <w:rFonts w:hAnsi="Times New Roman"/>
          <w:b/>
          <w:szCs w:val="24"/>
          <w:lang w:val="es-AR"/>
        </w:rPr>
      </w:pPr>
      <w:r w:rsidRPr="00722093">
        <w:rPr>
          <w:rFonts w:hAnsi="Times New Roman"/>
          <w:b/>
          <w:szCs w:val="24"/>
          <w:lang w:val="es-AR"/>
        </w:rPr>
        <w:t xml:space="preserve">Las características intrínsecas de la tecnología: ¿por qué el fenómeno tecnológico demanda una </w:t>
      </w:r>
      <w:r>
        <w:rPr>
          <w:rFonts w:hAnsi="Times New Roman"/>
          <w:b/>
          <w:szCs w:val="24"/>
          <w:lang w:val="es-AR"/>
        </w:rPr>
        <w:t>política de Estado</w:t>
      </w:r>
      <w:r w:rsidRPr="00722093">
        <w:rPr>
          <w:rFonts w:hAnsi="Times New Roman"/>
          <w:b/>
          <w:szCs w:val="24"/>
          <w:lang w:val="es-AR"/>
        </w:rPr>
        <w:t xml:space="preserve">? </w:t>
      </w:r>
    </w:p>
    <w:p w:rsidR="00E37579" w:rsidRPr="00C95E16" w:rsidRDefault="00E37579" w:rsidP="00EB2ADC">
      <w:pPr>
        <w:pStyle w:val="Predeterminado"/>
        <w:spacing w:line="360" w:lineRule="auto"/>
        <w:jc w:val="both"/>
        <w:rPr>
          <w:rFonts w:hAnsi="Times New Roman"/>
          <w:szCs w:val="24"/>
          <w:lang w:val="es-AR"/>
        </w:rPr>
      </w:pPr>
      <w:r w:rsidRPr="00C95E16">
        <w:rPr>
          <w:rFonts w:hAnsi="Times New Roman"/>
          <w:szCs w:val="24"/>
          <w:lang w:val="es-AR"/>
        </w:rPr>
        <w:t>Para comprender algunos procesos virtuosos de aprendizaje, escalamiento y desarrollo tecnológico en áreas estratégicas</w:t>
      </w:r>
      <w:r w:rsidRPr="00C95E16">
        <w:rPr>
          <w:rFonts w:hAnsi="Times New Roman"/>
          <w:lang w:val="es-AR"/>
        </w:rPr>
        <w:t xml:space="preserve"> de la economía que tuvieron lugar en la Argentina luego de 2003, podemos tomar como punto de partida algunas ideas </w:t>
      </w:r>
      <w:r>
        <w:rPr>
          <w:rFonts w:hAnsi="Times New Roman"/>
          <w:lang w:val="es-AR"/>
        </w:rPr>
        <w:t>centrales de la obra de Jorge Sá</w:t>
      </w:r>
      <w:r w:rsidRPr="00C95E16">
        <w:rPr>
          <w:rFonts w:hAnsi="Times New Roman"/>
          <w:lang w:val="es-AR"/>
        </w:rPr>
        <w:t xml:space="preserve">bato sobre </w:t>
      </w:r>
      <w:r w:rsidRPr="00C95E16">
        <w:rPr>
          <w:rFonts w:hAnsi="Times New Roman"/>
          <w:szCs w:val="24"/>
          <w:lang w:val="es-AR"/>
        </w:rPr>
        <w:t xml:space="preserve">las diferencias intrínsecas, epistemológicas y políticas, entre ciencia y tecnología y sobre el reconocimiento del </w:t>
      </w:r>
      <w:r w:rsidRPr="00C95E16">
        <w:rPr>
          <w:rFonts w:hAnsi="Times New Roman"/>
          <w:szCs w:val="24"/>
          <w:lang w:val="es-AR"/>
        </w:rPr>
        <w:lastRenderedPageBreak/>
        <w:t>problema crucial de los países de la región: la generación de capacidades de elaboración de políticas tecnológicas que hagan viable procesos de desarrollo autónomo en sectores estratégicos. Como explica el economista heterodoxo Ha-</w:t>
      </w:r>
      <w:proofErr w:type="spellStart"/>
      <w:r w:rsidRPr="00C95E16">
        <w:rPr>
          <w:rFonts w:hAnsi="Times New Roman"/>
          <w:szCs w:val="24"/>
          <w:lang w:val="es-AR"/>
        </w:rPr>
        <w:t>Joon</w:t>
      </w:r>
      <w:proofErr w:type="spellEnd"/>
      <w:r w:rsidRPr="00C95E16">
        <w:rPr>
          <w:rFonts w:hAnsi="Times New Roman"/>
          <w:szCs w:val="24"/>
          <w:lang w:val="es-AR"/>
        </w:rPr>
        <w:t xml:space="preserve"> Chang (2008: 81)</w:t>
      </w:r>
      <w:r w:rsidRPr="00C95E16">
        <w:rPr>
          <w:rFonts w:eastAsia="Times New Roman" w:hAnsi="Times New Roman"/>
          <w:color w:val="000000"/>
          <w:szCs w:val="24"/>
          <w:lang w:val="es-AR" w:eastAsia="es-AR"/>
        </w:rPr>
        <w:t xml:space="preserve"> “el desarrollo económico consiste en adquirir y dominar las tecnologías avanzadas”.</w:t>
      </w:r>
    </w:p>
    <w:p w:rsidR="00E37579" w:rsidRPr="00C95E16" w:rsidRDefault="00E37579" w:rsidP="00EB2ADC">
      <w:pPr>
        <w:pStyle w:val="Predeterminado"/>
        <w:spacing w:line="360" w:lineRule="auto"/>
        <w:jc w:val="both"/>
        <w:rPr>
          <w:rFonts w:hAnsi="Times New Roman"/>
          <w:lang w:val="es-AR"/>
        </w:rPr>
      </w:pPr>
      <w:r w:rsidRPr="00C95E16">
        <w:rPr>
          <w:rFonts w:hAnsi="Times New Roman"/>
          <w:kern w:val="0"/>
          <w:szCs w:val="24"/>
          <w:lang w:val="es-AR"/>
        </w:rPr>
        <w:t xml:space="preserve">Su visión más elaborada se encuentra en el libro </w:t>
      </w:r>
      <w:r w:rsidRPr="00C95E16">
        <w:rPr>
          <w:rFonts w:hAnsi="Times New Roman"/>
          <w:i/>
          <w:iCs/>
          <w:kern w:val="0"/>
          <w:szCs w:val="24"/>
          <w:lang w:val="es-AR"/>
        </w:rPr>
        <w:t>La producción de tecnología autónoma o</w:t>
      </w:r>
      <w:r w:rsidRPr="00C95E16">
        <w:rPr>
          <w:rFonts w:hAnsi="Times New Roman"/>
          <w:kern w:val="0"/>
          <w:szCs w:val="24"/>
          <w:lang w:val="es-AR"/>
        </w:rPr>
        <w:t xml:space="preserve"> </w:t>
      </w:r>
      <w:r w:rsidRPr="00C95E16">
        <w:rPr>
          <w:rFonts w:hAnsi="Times New Roman"/>
          <w:i/>
          <w:iCs/>
          <w:kern w:val="0"/>
          <w:szCs w:val="24"/>
          <w:lang w:val="es-AR"/>
        </w:rPr>
        <w:t xml:space="preserve">transnacional </w:t>
      </w:r>
      <w:r>
        <w:rPr>
          <w:rFonts w:hAnsi="Times New Roman"/>
          <w:kern w:val="0"/>
          <w:szCs w:val="24"/>
          <w:lang w:val="es-AR"/>
        </w:rPr>
        <w:t>(Sá</w:t>
      </w:r>
      <w:r w:rsidRPr="00C95E16">
        <w:rPr>
          <w:rFonts w:hAnsi="Times New Roman"/>
          <w:kern w:val="0"/>
          <w:szCs w:val="24"/>
          <w:lang w:val="es-AR"/>
        </w:rPr>
        <w:t xml:space="preserve">bato y </w:t>
      </w:r>
      <w:proofErr w:type="spellStart"/>
      <w:r w:rsidRPr="00C95E16">
        <w:rPr>
          <w:rFonts w:hAnsi="Times New Roman"/>
          <w:kern w:val="0"/>
          <w:szCs w:val="24"/>
          <w:lang w:val="es-AR"/>
        </w:rPr>
        <w:t>MacKenzie</w:t>
      </w:r>
      <w:proofErr w:type="spellEnd"/>
      <w:r w:rsidRPr="00C95E16">
        <w:rPr>
          <w:rFonts w:hAnsi="Times New Roman"/>
          <w:kern w:val="0"/>
          <w:szCs w:val="24"/>
          <w:lang w:val="es-AR"/>
        </w:rPr>
        <w:t xml:space="preserve">, 1982). </w:t>
      </w:r>
      <w:r>
        <w:rPr>
          <w:rFonts w:hAnsi="Times New Roman"/>
          <w:kern w:val="0"/>
          <w:szCs w:val="24"/>
          <w:lang w:val="es-AR"/>
        </w:rPr>
        <w:t>Allí, Sá</w:t>
      </w:r>
      <w:r w:rsidRPr="00C95E16">
        <w:rPr>
          <w:rFonts w:hAnsi="Times New Roman"/>
          <w:kern w:val="0"/>
          <w:szCs w:val="24"/>
          <w:lang w:val="es-AR"/>
        </w:rPr>
        <w:t xml:space="preserve">bato se concentra en aspectos específicos del “subdesarrollo”, como las consecuencias de lo que llama “importación ciega” de tecnología, “los esquemas de alienación” propios de estos procesos, o las condiciones de posibilidad para el desarrollo de capacidades tecnológicas autónomas. </w:t>
      </w:r>
      <w:r>
        <w:rPr>
          <w:rFonts w:hAnsi="Times New Roman"/>
          <w:kern w:val="0"/>
          <w:szCs w:val="24"/>
          <w:lang w:val="es-AR"/>
        </w:rPr>
        <w:t>Sá</w:t>
      </w:r>
      <w:r w:rsidRPr="00C95E16">
        <w:rPr>
          <w:rFonts w:hAnsi="Times New Roman"/>
          <w:kern w:val="0"/>
          <w:szCs w:val="24"/>
          <w:lang w:val="es-AR"/>
        </w:rPr>
        <w:t xml:space="preserve">bato habla de “paquete tecnológico” como “unidad de análisis para el estudio de la tecnología”, concepto “que tiene la suficiente flexibilidad para incorporar todos los </w:t>
      </w:r>
      <w:r w:rsidRPr="00C95E16">
        <w:rPr>
          <w:rFonts w:hAnsi="Times New Roman"/>
          <w:i/>
          <w:iCs/>
          <w:kern w:val="0"/>
          <w:szCs w:val="24"/>
          <w:lang w:val="es-AR"/>
        </w:rPr>
        <w:t xml:space="preserve">inputs </w:t>
      </w:r>
      <w:r w:rsidRPr="00C95E16">
        <w:rPr>
          <w:rFonts w:hAnsi="Times New Roman"/>
          <w:kern w:val="0"/>
          <w:szCs w:val="24"/>
          <w:lang w:val="es-AR"/>
        </w:rPr>
        <w:t>que intervienen en el cambio tecnológico”. Al conceptualizar la tecnología</w:t>
      </w:r>
      <w:r w:rsidRPr="00C95E16">
        <w:rPr>
          <w:rFonts w:hAnsi="Times New Roman"/>
          <w:szCs w:val="24"/>
          <w:lang w:val="es-AR"/>
        </w:rPr>
        <w:t xml:space="preserve"> </w:t>
      </w:r>
      <w:r w:rsidRPr="00C95E16">
        <w:rPr>
          <w:rFonts w:hAnsi="Times New Roman"/>
          <w:kern w:val="0"/>
          <w:szCs w:val="24"/>
          <w:lang w:val="es-AR"/>
        </w:rPr>
        <w:t>como mercancía, sostiene que el modo de producción dominante en el laboratorio es análogo al de la fábrica, que allí también existe división del trabajo. Frente a las simplificaciones domin</w:t>
      </w:r>
      <w:r>
        <w:rPr>
          <w:rFonts w:hAnsi="Times New Roman"/>
          <w:kern w:val="0"/>
          <w:szCs w:val="24"/>
          <w:lang w:val="es-AR"/>
        </w:rPr>
        <w:t>antes en el imaginario local, Sá</w:t>
      </w:r>
      <w:r w:rsidRPr="00C95E16">
        <w:rPr>
          <w:rFonts w:hAnsi="Times New Roman"/>
          <w:kern w:val="0"/>
          <w:szCs w:val="24"/>
          <w:lang w:val="es-AR"/>
        </w:rPr>
        <w:t xml:space="preserve">bato llamó la atención sobre la complejidad y la diversidad de actores que intervienen en el “drama tecnológico”: “políticos, empresarios, obreros, burócratas, científicos, tecnólogos, consumidores, etc.”. Y concluye: </w:t>
      </w:r>
    </w:p>
    <w:p w:rsidR="00E37579" w:rsidRPr="00C95E16" w:rsidRDefault="00E37579" w:rsidP="00C82CC5">
      <w:pPr>
        <w:pStyle w:val="Predeterminado"/>
        <w:spacing w:line="360" w:lineRule="auto"/>
        <w:ind w:left="1134" w:right="1134"/>
        <w:jc w:val="both"/>
        <w:rPr>
          <w:rFonts w:hAnsi="Times New Roman"/>
          <w:szCs w:val="24"/>
          <w:lang w:val="es-AR"/>
        </w:rPr>
      </w:pPr>
      <w:r w:rsidRPr="00C95E16">
        <w:rPr>
          <w:rFonts w:hAnsi="Times New Roman"/>
          <w:kern w:val="0"/>
          <w:szCs w:val="24"/>
          <w:lang w:val="es-AR"/>
        </w:rPr>
        <w:t>“La tecnología no es neutra: con ella se transmiten los valores y las relaciones de producción imperantes en la sociedad donde se origina. Por lo tanto, su importación sin una previa fijación de criterios –particularmente dentro del actual sistema de propiedad industrial y sin una adecuada legislación sobre inversión extranjera– conduce a una concentración de poder económico y político en los países exportadores y a una alienación social y cultural de los países importadores a través de la ‘reproducción’ de los valores importados”</w:t>
      </w:r>
      <w:r>
        <w:rPr>
          <w:rFonts w:hAnsi="Times New Roman"/>
          <w:kern w:val="0"/>
          <w:szCs w:val="24"/>
          <w:lang w:val="es-AR"/>
        </w:rPr>
        <w:t xml:space="preserve"> (</w:t>
      </w:r>
      <w:r w:rsidR="00A158E9">
        <w:rPr>
          <w:rFonts w:hAnsi="Times New Roman"/>
          <w:kern w:val="0"/>
          <w:szCs w:val="24"/>
          <w:lang w:val="es-AR"/>
        </w:rPr>
        <w:t>1982</w:t>
      </w:r>
      <w:r>
        <w:rPr>
          <w:rFonts w:hAnsi="Times New Roman"/>
          <w:kern w:val="0"/>
          <w:szCs w:val="24"/>
          <w:lang w:val="es-AR"/>
        </w:rPr>
        <w:t>)</w:t>
      </w:r>
      <w:r w:rsidRPr="00C95E16">
        <w:rPr>
          <w:rFonts w:hAnsi="Times New Roman"/>
          <w:kern w:val="0"/>
          <w:szCs w:val="24"/>
          <w:lang w:val="es-AR"/>
        </w:rPr>
        <w:t>.</w:t>
      </w:r>
    </w:p>
    <w:p w:rsidR="00E37579" w:rsidRPr="00C95E16" w:rsidRDefault="00E37579" w:rsidP="00EB2ADC">
      <w:pPr>
        <w:pStyle w:val="Predeterminado"/>
        <w:spacing w:line="360" w:lineRule="auto"/>
        <w:jc w:val="both"/>
        <w:rPr>
          <w:rFonts w:hAnsi="Times New Roman"/>
          <w:color w:val="000000"/>
          <w:lang w:val="es-MX"/>
        </w:rPr>
      </w:pPr>
      <w:r w:rsidRPr="00C95E16">
        <w:rPr>
          <w:rFonts w:hAnsi="Times New Roman"/>
          <w:lang w:val="es-AR"/>
        </w:rPr>
        <w:t xml:space="preserve">Ahora bien, autonomía no es lo mismo que autarquía. Argentina necesita importar tecnología, por eso dedica una parte importante de sus reflexiones a </w:t>
      </w:r>
      <w:r w:rsidRPr="00C95E16">
        <w:rPr>
          <w:rFonts w:hAnsi="Times New Roman"/>
          <w:color w:val="000000"/>
          <w:lang w:val="es-MX"/>
        </w:rPr>
        <w:t>comprender los procesos de comercialización de tecnología, que en el sistema económico “es una mercancía, una auténtica ‘</w:t>
      </w:r>
      <w:proofErr w:type="spellStart"/>
      <w:r w:rsidRPr="00C95E16">
        <w:rPr>
          <w:rFonts w:hAnsi="Times New Roman"/>
          <w:color w:val="000000"/>
          <w:lang w:val="es-MX"/>
        </w:rPr>
        <w:t>commodity</w:t>
      </w:r>
      <w:proofErr w:type="spellEnd"/>
      <w:r w:rsidRPr="00C95E16">
        <w:rPr>
          <w:rFonts w:hAnsi="Times New Roman"/>
          <w:color w:val="000000"/>
          <w:lang w:val="es-MX"/>
        </w:rPr>
        <w:t xml:space="preserve"> of </w:t>
      </w:r>
      <w:proofErr w:type="spellStart"/>
      <w:r w:rsidRPr="00C95E16">
        <w:rPr>
          <w:rFonts w:hAnsi="Times New Roman"/>
          <w:color w:val="000000"/>
          <w:lang w:val="es-MX"/>
        </w:rPr>
        <w:t>commerce</w:t>
      </w:r>
      <w:proofErr w:type="spellEnd"/>
      <w:r w:rsidRPr="00C95E16">
        <w:rPr>
          <w:rFonts w:hAnsi="Times New Roman"/>
          <w:color w:val="000000"/>
          <w:lang w:val="es-MX"/>
        </w:rPr>
        <w:t>’”. Como “p</w:t>
      </w:r>
      <w:r>
        <w:rPr>
          <w:rFonts w:hAnsi="Times New Roman"/>
          <w:color w:val="000000"/>
          <w:lang w:val="es-MX"/>
        </w:rPr>
        <w:t>roducto cultural”, Sá</w:t>
      </w:r>
      <w:r w:rsidRPr="00C95E16">
        <w:rPr>
          <w:rFonts w:hAnsi="Times New Roman"/>
          <w:color w:val="000000"/>
          <w:lang w:val="es-MX"/>
        </w:rPr>
        <w:t xml:space="preserve">bato destaca de la tecnología “su </w:t>
      </w:r>
      <w:r w:rsidRPr="00C95E16">
        <w:rPr>
          <w:rFonts w:hAnsi="Times New Roman"/>
          <w:i/>
          <w:color w:val="000000"/>
          <w:lang w:val="es-MX"/>
        </w:rPr>
        <w:t>dinamismo</w:t>
      </w:r>
      <w:r w:rsidRPr="00C95E16">
        <w:rPr>
          <w:rFonts w:hAnsi="Times New Roman"/>
          <w:color w:val="000000"/>
          <w:lang w:val="es-MX"/>
        </w:rPr>
        <w:t xml:space="preserve">, su </w:t>
      </w:r>
      <w:r w:rsidRPr="00C95E16">
        <w:rPr>
          <w:rFonts w:hAnsi="Times New Roman"/>
          <w:i/>
          <w:color w:val="000000"/>
          <w:lang w:val="es-MX"/>
        </w:rPr>
        <w:t>efecto multiplicador</w:t>
      </w:r>
      <w:r w:rsidRPr="00C95E16">
        <w:rPr>
          <w:rFonts w:hAnsi="Times New Roman"/>
          <w:color w:val="000000"/>
          <w:lang w:val="es-MX"/>
        </w:rPr>
        <w:t xml:space="preserve"> y su </w:t>
      </w:r>
      <w:r w:rsidRPr="00C95E16">
        <w:rPr>
          <w:rFonts w:hAnsi="Times New Roman"/>
          <w:i/>
          <w:color w:val="000000"/>
          <w:lang w:val="es-MX"/>
        </w:rPr>
        <w:t>naturaleza social</w:t>
      </w:r>
      <w:r w:rsidRPr="00C95E16">
        <w:rPr>
          <w:rFonts w:hAnsi="Times New Roman"/>
          <w:color w:val="000000"/>
          <w:lang w:val="es-MX"/>
        </w:rPr>
        <w:t>”. Sin embargo, una clave es su elección: “Hay tecnologías más ‘</w:t>
      </w:r>
      <w:proofErr w:type="spellStart"/>
      <w:r w:rsidRPr="00C95E16">
        <w:rPr>
          <w:rFonts w:hAnsi="Times New Roman"/>
          <w:color w:val="000000"/>
          <w:lang w:val="es-MX"/>
        </w:rPr>
        <w:t>tecnologizantes</w:t>
      </w:r>
      <w:proofErr w:type="spellEnd"/>
      <w:r w:rsidRPr="00C95E16">
        <w:rPr>
          <w:rFonts w:hAnsi="Times New Roman"/>
          <w:color w:val="000000"/>
          <w:lang w:val="es-MX"/>
        </w:rPr>
        <w:t>’ que otras. Tal el caso de la tecnología metal-mecánica, que propaga más cultura tecnológica que, por ejemplo, la tecnología textil; o la tecnología de ‘marketing’ de artículos electrodomésticos versus la de marketing de pan</w:t>
      </w:r>
      <w:r>
        <w:rPr>
          <w:rFonts w:hAnsi="Times New Roman"/>
          <w:color w:val="000000"/>
          <w:lang w:val="es-MX"/>
        </w:rPr>
        <w:t xml:space="preserve"> o lechuga, etc.” (Sá</w:t>
      </w:r>
      <w:r w:rsidRPr="00C95E16">
        <w:rPr>
          <w:rFonts w:hAnsi="Times New Roman"/>
          <w:color w:val="000000"/>
          <w:lang w:val="es-MX"/>
        </w:rPr>
        <w:t xml:space="preserve">bato, 1973: 2, 8, 9; itálicas en el original). </w:t>
      </w:r>
    </w:p>
    <w:p w:rsidR="00E37579" w:rsidRPr="00C95E16" w:rsidRDefault="00E37579" w:rsidP="00EB2ADC">
      <w:pPr>
        <w:pStyle w:val="Predeterminado"/>
        <w:spacing w:line="360" w:lineRule="auto"/>
        <w:jc w:val="both"/>
        <w:rPr>
          <w:rFonts w:hAnsi="Times New Roman"/>
          <w:color w:val="000000"/>
          <w:lang w:val="es-MX"/>
        </w:rPr>
      </w:pPr>
      <w:r w:rsidRPr="00C95E16">
        <w:rPr>
          <w:rFonts w:hAnsi="Times New Roman"/>
          <w:color w:val="000000"/>
          <w:lang w:val="es-MX"/>
        </w:rPr>
        <w:t xml:space="preserve">El objetivo de Sábato es comprender la dinámica y las consecuencias del “comercio de tecnología </w:t>
      </w:r>
      <w:r w:rsidRPr="00C95E16">
        <w:rPr>
          <w:rFonts w:hAnsi="Times New Roman"/>
          <w:color w:val="000000"/>
          <w:lang w:val="es-MX"/>
        </w:rPr>
        <w:lastRenderedPageBreak/>
        <w:t xml:space="preserve">entre los países desarrollados y los menos desarrollados”.  En el proceso de desarrollo un país incorpora “más y más producción manufacturera propia”. Mientras se protege la producción con tarifas y aranceles aduaneros, “la tecnología que se importa va creciendo en volumen total y modificando su naturaleza: más tecnología desincorporada (patentes, licencias, marcas, ingeniería de diseño, planos, etc.) y más tecnología mixta (incorporada y desincorporada) por radicación de empresas extranjeras”. Sin embargo, el mercado de tecnología entre países más desarrollados y menos desarrollados “es un mercado muy imperfecto”: </w:t>
      </w:r>
    </w:p>
    <w:p w:rsidR="00E37579" w:rsidRPr="00C95E16" w:rsidRDefault="00E37579" w:rsidP="00B35CED">
      <w:pPr>
        <w:pStyle w:val="Predeterminado"/>
        <w:spacing w:line="360" w:lineRule="auto"/>
        <w:ind w:left="1134" w:right="1134"/>
        <w:jc w:val="both"/>
        <w:rPr>
          <w:rFonts w:hAnsi="Times New Roman"/>
          <w:color w:val="000000"/>
          <w:lang w:val="es-MX"/>
        </w:rPr>
      </w:pPr>
      <w:r w:rsidRPr="00C95E16">
        <w:rPr>
          <w:rFonts w:hAnsi="Times New Roman"/>
          <w:color w:val="000000"/>
          <w:lang w:val="es-MX"/>
        </w:rPr>
        <w:t xml:space="preserve">“El vendedor detenta una situación cuasi monopólica [...] gracias a un sistema de patentes que está estructurado y funciona para proteger al productor de Tecnología; posee información casi perfecta; el costo marginal de lo que exporta es muy bajo; controla la financiación directa de proveedores y utiliza al máximo [...] los créditos ‘atados’, emplea mecanismos de penetración de efecto permanente como los acuerdos bilaterales de cooperación técnica; dispone de importantes recursos para publicidad, relaciones públicas, etc.” </w:t>
      </w:r>
      <w:r>
        <w:rPr>
          <w:rFonts w:hAnsi="Times New Roman"/>
          <w:color w:val="000000"/>
          <w:lang w:val="es-MX"/>
        </w:rPr>
        <w:t>(Sá</w:t>
      </w:r>
      <w:r w:rsidRPr="00C95E16">
        <w:rPr>
          <w:rFonts w:hAnsi="Times New Roman"/>
          <w:color w:val="000000"/>
          <w:lang w:val="es-MX"/>
        </w:rPr>
        <w:t>bato, 1973: 10, 11, 15)</w:t>
      </w:r>
    </w:p>
    <w:p w:rsidR="00E37579" w:rsidRPr="00C95E16" w:rsidRDefault="00E37579" w:rsidP="00EB2ADC">
      <w:pPr>
        <w:pStyle w:val="Predeterminado"/>
        <w:spacing w:line="360" w:lineRule="auto"/>
        <w:jc w:val="both"/>
        <w:rPr>
          <w:rFonts w:hAnsi="Times New Roman"/>
          <w:color w:val="000000"/>
          <w:lang w:val="es-MX"/>
        </w:rPr>
      </w:pPr>
      <w:r w:rsidRPr="00C95E16">
        <w:rPr>
          <w:rFonts w:hAnsi="Times New Roman"/>
          <w:color w:val="000000"/>
          <w:lang w:val="es-MX"/>
        </w:rPr>
        <w:t xml:space="preserve">Como contrapartida, </w:t>
      </w:r>
    </w:p>
    <w:p w:rsidR="00E37579" w:rsidRPr="00C95E16" w:rsidRDefault="00E37579" w:rsidP="00B35CED">
      <w:pPr>
        <w:pStyle w:val="Predeterminado"/>
        <w:spacing w:line="360" w:lineRule="auto"/>
        <w:ind w:left="1134" w:right="1134"/>
        <w:jc w:val="both"/>
        <w:rPr>
          <w:rFonts w:hAnsi="Times New Roman"/>
          <w:color w:val="000000"/>
          <w:lang w:val="es-MX"/>
        </w:rPr>
      </w:pPr>
      <w:r w:rsidRPr="00C95E16">
        <w:rPr>
          <w:rFonts w:hAnsi="Times New Roman"/>
          <w:color w:val="000000"/>
          <w:lang w:val="es-MX"/>
        </w:rPr>
        <w:t xml:space="preserve">“[...] el comprador no produce tecnología, tiene poca información y escasa experiencia [...], debe afrontar un costo marginal (si quisiera desarrollar la tecnología por cuenta propia) alto y muy riesgoso, no dispone de fuentes locales de financiación –particularmente de divisas– y debe funcionar en un mercado de tecnologías sin tarifas ni aranceles que den protección a la producción propia de tecnología o que al menos regulen la tecnología que se importa” </w:t>
      </w:r>
      <w:r>
        <w:rPr>
          <w:rFonts w:hAnsi="Times New Roman"/>
          <w:color w:val="000000"/>
          <w:lang w:val="es-MX"/>
        </w:rPr>
        <w:t>(Sá</w:t>
      </w:r>
      <w:r w:rsidRPr="00C95E16">
        <w:rPr>
          <w:rFonts w:hAnsi="Times New Roman"/>
          <w:color w:val="000000"/>
          <w:lang w:val="es-MX"/>
        </w:rPr>
        <w:t xml:space="preserve">bato, 1973: 15). </w:t>
      </w:r>
    </w:p>
    <w:p w:rsidR="00E37579" w:rsidRPr="00C95E16" w:rsidRDefault="00E37579" w:rsidP="00EB2ADC">
      <w:pPr>
        <w:pStyle w:val="Predeterminado"/>
        <w:spacing w:line="360" w:lineRule="auto"/>
        <w:jc w:val="both"/>
        <w:rPr>
          <w:rFonts w:hAnsi="Times New Roman"/>
          <w:color w:val="000000"/>
          <w:lang w:val="es-MX"/>
        </w:rPr>
      </w:pPr>
      <w:r w:rsidRPr="00C95E16">
        <w:rPr>
          <w:rFonts w:hAnsi="Times New Roman"/>
          <w:color w:val="000000"/>
          <w:lang w:val="es-MX"/>
        </w:rPr>
        <w:t>En este campo de fuerzas, las competencias y la experiencia de gestión juegan un papel crucial. El vendedor, “agresivo, bien entrenado, con capacidad de negociación, con apoyo de la embajada de su país de origen”, ofrece la tecnología “con la menor desagregación posible [...] lo que permite realizar un negocio mayor, disimular cláusulas ‘duras’ en una foresta de cláusulas más generales y mantener abierta la posibilidad de ir desagregando –o ‘abriendo el paquete’– a medida que le convenga” (</w:t>
      </w:r>
      <w:r>
        <w:rPr>
          <w:rFonts w:hAnsi="Times New Roman"/>
          <w:color w:val="000000"/>
          <w:lang w:val="es-MX"/>
        </w:rPr>
        <w:t>Sá</w:t>
      </w:r>
      <w:r w:rsidRPr="00C95E16">
        <w:rPr>
          <w:rFonts w:hAnsi="Times New Roman"/>
          <w:color w:val="000000"/>
          <w:lang w:val="es-MX"/>
        </w:rPr>
        <w:t>bato, 1973: 16).</w:t>
      </w:r>
    </w:p>
    <w:p w:rsidR="00E37579" w:rsidRPr="00C95E16" w:rsidRDefault="00E37579" w:rsidP="00EB2ADC">
      <w:pPr>
        <w:pStyle w:val="Predeterminado"/>
        <w:spacing w:line="360" w:lineRule="auto"/>
        <w:jc w:val="both"/>
        <w:rPr>
          <w:rStyle w:val="A2"/>
          <w:rFonts w:hAnsi="Times New Roman"/>
          <w:sz w:val="24"/>
          <w:szCs w:val="24"/>
          <w:lang w:val="es-AR"/>
        </w:rPr>
      </w:pPr>
      <w:r w:rsidRPr="00C95E16">
        <w:rPr>
          <w:rStyle w:val="A2"/>
          <w:rFonts w:hAnsi="Times New Roman"/>
          <w:sz w:val="24"/>
          <w:szCs w:val="24"/>
          <w:lang w:val="es-AR"/>
        </w:rPr>
        <w:t>El</w:t>
      </w:r>
      <w:r>
        <w:rPr>
          <w:rStyle w:val="A2"/>
          <w:rFonts w:hAnsi="Times New Roman"/>
          <w:sz w:val="24"/>
          <w:szCs w:val="24"/>
          <w:lang w:val="es-AR"/>
        </w:rPr>
        <w:t xml:space="preserve"> nuevo ciclo de gobiernos</w:t>
      </w:r>
      <w:r w:rsidRPr="00C95E16">
        <w:rPr>
          <w:rStyle w:val="A2"/>
          <w:rFonts w:hAnsi="Times New Roman"/>
          <w:sz w:val="24"/>
          <w:szCs w:val="24"/>
          <w:lang w:val="es-AR"/>
        </w:rPr>
        <w:t xml:space="preserve"> que se inicia en 2003, que se propone abandonar la matriz neoliberal, </w:t>
      </w:r>
      <w:r>
        <w:rPr>
          <w:rStyle w:val="A2"/>
          <w:rFonts w:hAnsi="Times New Roman"/>
          <w:sz w:val="24"/>
          <w:szCs w:val="24"/>
          <w:lang w:val="es-AR"/>
        </w:rPr>
        <w:t>inició un proceso de</w:t>
      </w:r>
      <w:r w:rsidRPr="00C95E16">
        <w:rPr>
          <w:rStyle w:val="A2"/>
          <w:rFonts w:hAnsi="Times New Roman"/>
          <w:sz w:val="24"/>
          <w:szCs w:val="24"/>
          <w:lang w:val="es-AR"/>
        </w:rPr>
        <w:t xml:space="preserve"> </w:t>
      </w:r>
      <w:proofErr w:type="spellStart"/>
      <w:r w:rsidRPr="00C95E16">
        <w:rPr>
          <w:rStyle w:val="A2"/>
          <w:rFonts w:hAnsi="Times New Roman"/>
          <w:sz w:val="24"/>
          <w:szCs w:val="24"/>
          <w:lang w:val="es-AR"/>
        </w:rPr>
        <w:t>resignificación</w:t>
      </w:r>
      <w:proofErr w:type="spellEnd"/>
      <w:r w:rsidRPr="00C95E16">
        <w:rPr>
          <w:rStyle w:val="A2"/>
          <w:rFonts w:hAnsi="Times New Roman"/>
          <w:sz w:val="24"/>
          <w:szCs w:val="24"/>
          <w:lang w:val="es-AR"/>
        </w:rPr>
        <w:t xml:space="preserve"> del sentido social y económico de la ciencia y la tecnología. </w:t>
      </w:r>
      <w:r>
        <w:rPr>
          <w:rStyle w:val="A2"/>
          <w:rFonts w:hAnsi="Times New Roman"/>
          <w:sz w:val="24"/>
          <w:szCs w:val="24"/>
          <w:lang w:val="es-AR"/>
        </w:rPr>
        <w:t>En este escenario, l</w:t>
      </w:r>
      <w:r w:rsidRPr="00C95E16">
        <w:rPr>
          <w:rStyle w:val="A2"/>
          <w:rFonts w:hAnsi="Times New Roman"/>
          <w:sz w:val="24"/>
          <w:szCs w:val="24"/>
          <w:lang w:val="es-AR"/>
        </w:rPr>
        <w:t xml:space="preserve">as principales fuerzas transformadoras fueron la recuperación de un proyecto de país industrial </w:t>
      </w:r>
      <w:r>
        <w:rPr>
          <w:rStyle w:val="A2"/>
          <w:rFonts w:hAnsi="Times New Roman"/>
          <w:sz w:val="24"/>
          <w:szCs w:val="24"/>
          <w:lang w:val="es-AR"/>
        </w:rPr>
        <w:t xml:space="preserve">e inclusivo </w:t>
      </w:r>
      <w:r w:rsidRPr="00C95E16">
        <w:rPr>
          <w:rStyle w:val="A2"/>
          <w:rFonts w:hAnsi="Times New Roman"/>
          <w:sz w:val="24"/>
          <w:szCs w:val="24"/>
          <w:lang w:val="es-AR"/>
        </w:rPr>
        <w:t xml:space="preserve">y la decisión de poner a las actividades de </w:t>
      </w:r>
      <w:proofErr w:type="spellStart"/>
      <w:r w:rsidRPr="00C95E16">
        <w:rPr>
          <w:rStyle w:val="A2"/>
          <w:rFonts w:hAnsi="Times New Roman"/>
          <w:sz w:val="24"/>
          <w:szCs w:val="24"/>
          <w:lang w:val="es-AR"/>
        </w:rPr>
        <w:t>I+D+i</w:t>
      </w:r>
      <w:proofErr w:type="spellEnd"/>
      <w:r w:rsidRPr="00C95E16">
        <w:rPr>
          <w:rStyle w:val="A2"/>
          <w:rFonts w:hAnsi="Times New Roman"/>
          <w:sz w:val="24"/>
          <w:szCs w:val="24"/>
          <w:lang w:val="es-AR"/>
        </w:rPr>
        <w:t xml:space="preserve"> en la primera línea de las </w:t>
      </w:r>
      <w:r>
        <w:rPr>
          <w:rStyle w:val="A2"/>
          <w:rFonts w:hAnsi="Times New Roman"/>
          <w:sz w:val="24"/>
          <w:szCs w:val="24"/>
          <w:lang w:val="es-AR"/>
        </w:rPr>
        <w:lastRenderedPageBreak/>
        <w:t>políticas de Estado</w:t>
      </w:r>
      <w:r w:rsidRPr="00C95E16">
        <w:rPr>
          <w:rStyle w:val="A2"/>
          <w:rFonts w:hAnsi="Times New Roman"/>
          <w:sz w:val="24"/>
          <w:szCs w:val="24"/>
          <w:lang w:val="es-AR"/>
        </w:rPr>
        <w:t>. Esta transformación también produjo movimientos tectónicos en un nivel que po</w:t>
      </w:r>
      <w:r w:rsidRPr="00C95E16">
        <w:rPr>
          <w:rStyle w:val="A2"/>
          <w:rFonts w:hAnsi="Times New Roman"/>
          <w:sz w:val="24"/>
          <w:szCs w:val="24"/>
          <w:lang w:val="es-AR"/>
        </w:rPr>
        <w:softHyphen/>
        <w:t xml:space="preserve">dríamos llamar de epistemología política: mientras que el acceso a las tecnologías y, por lo tanto, las capacidades de gestión tecnológica, históricamente fueron subsidiarias del cultivo de la ciencia internacionalmente prestigiosa, se comenzó a avanzar en la definición de agendas donde el conocimiento </w:t>
      </w:r>
      <w:r>
        <w:rPr>
          <w:rStyle w:val="A2"/>
          <w:rFonts w:hAnsi="Times New Roman"/>
          <w:sz w:val="24"/>
          <w:szCs w:val="24"/>
          <w:lang w:val="es-AR"/>
        </w:rPr>
        <w:t xml:space="preserve">social y económicamente </w:t>
      </w:r>
      <w:r w:rsidRPr="00C95E16">
        <w:rPr>
          <w:rStyle w:val="A2"/>
          <w:rFonts w:hAnsi="Times New Roman"/>
          <w:sz w:val="24"/>
          <w:szCs w:val="24"/>
          <w:lang w:val="es-AR"/>
        </w:rPr>
        <w:t>“útil” –definido con criterio</w:t>
      </w:r>
      <w:r>
        <w:rPr>
          <w:rStyle w:val="A2"/>
          <w:rFonts w:hAnsi="Times New Roman"/>
          <w:sz w:val="24"/>
          <w:szCs w:val="24"/>
          <w:lang w:val="es-AR"/>
        </w:rPr>
        <w:t>s</w:t>
      </w:r>
      <w:r w:rsidRPr="00C95E16">
        <w:rPr>
          <w:rStyle w:val="A2"/>
          <w:rFonts w:hAnsi="Times New Roman"/>
          <w:sz w:val="24"/>
          <w:szCs w:val="24"/>
          <w:lang w:val="es-AR"/>
        </w:rPr>
        <w:t xml:space="preserve"> local</w:t>
      </w:r>
      <w:r>
        <w:rPr>
          <w:rStyle w:val="A2"/>
          <w:rFonts w:hAnsi="Times New Roman"/>
          <w:sz w:val="24"/>
          <w:szCs w:val="24"/>
          <w:lang w:val="es-AR"/>
        </w:rPr>
        <w:t>es</w:t>
      </w:r>
      <w:r w:rsidRPr="00C95E16">
        <w:rPr>
          <w:rStyle w:val="A2"/>
          <w:rFonts w:hAnsi="Times New Roman"/>
          <w:sz w:val="24"/>
          <w:szCs w:val="24"/>
          <w:lang w:val="es-AR"/>
        </w:rPr>
        <w:t>– fue ocupando un lugar protagónico, en la medida en que las políticas públicas fueron logrando instalar agendas científicas y tecn</w:t>
      </w:r>
      <w:r>
        <w:rPr>
          <w:rStyle w:val="A2"/>
          <w:rFonts w:hAnsi="Times New Roman"/>
          <w:sz w:val="24"/>
          <w:szCs w:val="24"/>
          <w:lang w:val="es-AR"/>
        </w:rPr>
        <w:t>ológi</w:t>
      </w:r>
      <w:r>
        <w:rPr>
          <w:rStyle w:val="A2"/>
          <w:rFonts w:hAnsi="Times New Roman"/>
          <w:sz w:val="24"/>
          <w:szCs w:val="24"/>
          <w:lang w:val="es-AR"/>
        </w:rPr>
        <w:softHyphen/>
        <w:t>cas vinculadas a sectores</w:t>
      </w:r>
      <w:r w:rsidRPr="00C95E16">
        <w:rPr>
          <w:rStyle w:val="A2"/>
          <w:rFonts w:hAnsi="Times New Roman"/>
          <w:sz w:val="24"/>
          <w:szCs w:val="24"/>
          <w:lang w:val="es-AR"/>
        </w:rPr>
        <w:t xml:space="preserve"> considerados estratégicos. La lección más importante de este último período para el sector de ciencia y tecnología es organizacional e institucional: con cierta fragilidad en los estadios iniciales, pero con creciente consistencia, comienzan a ponerse en evidencia algunas trayectorias de aprendizaje y procesos de acumulación de capacidades en las instituciones públicas de investigación y desarrollo, así como la aparición </w:t>
      </w:r>
      <w:r>
        <w:rPr>
          <w:rStyle w:val="A2"/>
          <w:rFonts w:hAnsi="Times New Roman"/>
          <w:sz w:val="24"/>
          <w:szCs w:val="24"/>
          <w:lang w:val="es-AR"/>
        </w:rPr>
        <w:t xml:space="preserve">incipiente </w:t>
      </w:r>
      <w:r w:rsidRPr="00C95E16">
        <w:rPr>
          <w:rStyle w:val="A2"/>
          <w:rFonts w:hAnsi="Times New Roman"/>
          <w:sz w:val="24"/>
          <w:szCs w:val="24"/>
          <w:lang w:val="es-AR"/>
        </w:rPr>
        <w:t>de empresas que expresan rasgos afines al proyecto de país y que demuestran interés por incorporar tecnología a</w:t>
      </w:r>
      <w:r>
        <w:rPr>
          <w:rStyle w:val="A2"/>
          <w:rFonts w:hAnsi="Times New Roman"/>
          <w:sz w:val="24"/>
          <w:szCs w:val="24"/>
          <w:lang w:val="es-AR"/>
        </w:rPr>
        <w:t xml:space="preserve"> sus actividades productivas</w:t>
      </w:r>
      <w:r w:rsidRPr="00C95E16">
        <w:rPr>
          <w:rStyle w:val="A2"/>
          <w:rFonts w:hAnsi="Times New Roman"/>
          <w:sz w:val="24"/>
          <w:szCs w:val="24"/>
          <w:lang w:val="es-AR"/>
        </w:rPr>
        <w:t>. Desde esta perspectiva, el logro más importante del período 200</w:t>
      </w:r>
      <w:r>
        <w:rPr>
          <w:rStyle w:val="A2"/>
          <w:rFonts w:hAnsi="Times New Roman"/>
          <w:sz w:val="24"/>
          <w:szCs w:val="24"/>
          <w:lang w:val="es-AR"/>
        </w:rPr>
        <w:t>3</w:t>
      </w:r>
      <w:r w:rsidRPr="00C95E16">
        <w:rPr>
          <w:rStyle w:val="A2"/>
          <w:rFonts w:hAnsi="Times New Roman"/>
          <w:sz w:val="24"/>
          <w:szCs w:val="24"/>
          <w:lang w:val="es-AR"/>
        </w:rPr>
        <w:t>-2015 es el haber logrado construir un Estado con capacidades crecien</w:t>
      </w:r>
      <w:r w:rsidRPr="00C95E16">
        <w:rPr>
          <w:rStyle w:val="A2"/>
          <w:rFonts w:hAnsi="Times New Roman"/>
          <w:sz w:val="24"/>
          <w:szCs w:val="24"/>
          <w:lang w:val="es-AR"/>
        </w:rPr>
        <w:softHyphen/>
        <w:t>tes de formulación y desarrollo exitoso de políticas públicas.</w:t>
      </w:r>
    </w:p>
    <w:p w:rsidR="00E37579" w:rsidRDefault="00E37579" w:rsidP="00EB2ADC">
      <w:pPr>
        <w:pStyle w:val="Predeterminado"/>
        <w:spacing w:line="360" w:lineRule="auto"/>
        <w:jc w:val="both"/>
        <w:rPr>
          <w:rFonts w:hAnsi="Times New Roman"/>
          <w:szCs w:val="24"/>
          <w:lang w:val="es-AR"/>
        </w:rPr>
      </w:pPr>
      <w:r w:rsidRPr="00C95E16">
        <w:rPr>
          <w:rFonts w:hAnsi="Times New Roman"/>
          <w:szCs w:val="24"/>
          <w:lang w:val="es-AR"/>
        </w:rPr>
        <w:t xml:space="preserve">Partir de una matriz productiva agroexportadora con algunas capacidades industriales nacionales de baja y media intensidad tecnológica –perfil propio de una economía </w:t>
      </w:r>
      <w:r>
        <w:rPr>
          <w:rFonts w:hAnsi="Times New Roman"/>
          <w:szCs w:val="24"/>
          <w:lang w:val="es-AR"/>
        </w:rPr>
        <w:t>como la A</w:t>
      </w:r>
      <w:r w:rsidRPr="00C95E16">
        <w:rPr>
          <w:rFonts w:hAnsi="Times New Roman"/>
          <w:szCs w:val="24"/>
          <w:lang w:val="es-AR"/>
        </w:rPr>
        <w:t>rgentina– y proponerse la incorporación de tecnologías avanzadas –es decir, la creación de entornos industriales de alta intensidad tecnológica– supone capacidades estatales para concebir e impulsar una trayectoria evolutiva de escalamiento selectivo en la jerarquía de habilidades y competencias tecnológicas, organizacionales, institucionales y políticas. La historia económica enseña que estos objetivos se logran mediante procesos de aprendizaje del tipo de “acortamiento de la brecha” (o “</w:t>
      </w:r>
      <w:proofErr w:type="spellStart"/>
      <w:r w:rsidRPr="00C95E16">
        <w:rPr>
          <w:rFonts w:hAnsi="Times New Roman"/>
          <w:i/>
          <w:szCs w:val="24"/>
          <w:lang w:val="es-AR"/>
        </w:rPr>
        <w:t>catching</w:t>
      </w:r>
      <w:proofErr w:type="spellEnd"/>
      <w:r w:rsidRPr="00C95E16">
        <w:rPr>
          <w:rFonts w:hAnsi="Times New Roman"/>
          <w:i/>
          <w:szCs w:val="24"/>
          <w:lang w:val="es-AR"/>
        </w:rPr>
        <w:t xml:space="preserve"> up</w:t>
      </w:r>
      <w:r w:rsidRPr="00C95E16">
        <w:rPr>
          <w:rFonts w:hAnsi="Times New Roman"/>
          <w:szCs w:val="24"/>
          <w:lang w:val="es-AR"/>
        </w:rPr>
        <w:t>”), que involucran inicialmente la generación de capacidades para la</w:t>
      </w:r>
      <w:r>
        <w:rPr>
          <w:rFonts w:hAnsi="Times New Roman"/>
          <w:szCs w:val="24"/>
          <w:lang w:val="es-AR"/>
        </w:rPr>
        <w:t xml:space="preserve"> transferencia, la</w:t>
      </w:r>
      <w:r w:rsidRPr="00C95E16">
        <w:rPr>
          <w:rFonts w:hAnsi="Times New Roman"/>
          <w:szCs w:val="24"/>
          <w:lang w:val="es-AR"/>
        </w:rPr>
        <w:t xml:space="preserve"> i</w:t>
      </w:r>
      <w:r>
        <w:rPr>
          <w:rFonts w:hAnsi="Times New Roman"/>
          <w:szCs w:val="24"/>
          <w:lang w:val="es-AR"/>
        </w:rPr>
        <w:t>mitación, la ingeniería inversa y</w:t>
      </w:r>
      <w:r w:rsidRPr="00C95E16">
        <w:rPr>
          <w:rFonts w:hAnsi="Times New Roman"/>
          <w:szCs w:val="24"/>
          <w:lang w:val="es-AR"/>
        </w:rPr>
        <w:t xml:space="preserve"> las modificaciones marginales de productos y procesos</w:t>
      </w:r>
      <w:r>
        <w:rPr>
          <w:rFonts w:hAnsi="Times New Roman"/>
          <w:szCs w:val="24"/>
          <w:lang w:val="es-AR"/>
        </w:rPr>
        <w:t xml:space="preserve"> por laboratorios públicos y/o sectores o grupos de empresas involucradas</w:t>
      </w:r>
      <w:r w:rsidRPr="00C95E16">
        <w:rPr>
          <w:rFonts w:hAnsi="Times New Roman"/>
          <w:szCs w:val="24"/>
          <w:lang w:val="es-AR"/>
        </w:rPr>
        <w:t>. “Esto ha sido así en el pasado en Inglaterra vis a vis Holanda, en Estados Unidos vis a vis Inglaterra, en Japón vis a vis la Europa desarrollada, y lo es hoy en día en el caso de China” (</w:t>
      </w:r>
      <w:proofErr w:type="spellStart"/>
      <w:r w:rsidRPr="00C95E16">
        <w:rPr>
          <w:rFonts w:hAnsi="Times New Roman"/>
          <w:szCs w:val="24"/>
          <w:lang w:val="es-AR"/>
        </w:rPr>
        <w:t>Cimoli</w:t>
      </w:r>
      <w:proofErr w:type="spellEnd"/>
      <w:r w:rsidRPr="00C95E16">
        <w:rPr>
          <w:rFonts w:hAnsi="Times New Roman"/>
          <w:szCs w:val="24"/>
          <w:lang w:val="es-AR"/>
        </w:rPr>
        <w:t xml:space="preserve"> </w:t>
      </w:r>
      <w:r w:rsidRPr="00D046A7">
        <w:rPr>
          <w:rFonts w:hAnsi="Times New Roman"/>
          <w:i/>
          <w:szCs w:val="24"/>
          <w:lang w:val="es-AR"/>
        </w:rPr>
        <w:t>et al.</w:t>
      </w:r>
      <w:r w:rsidRPr="00C95E16">
        <w:rPr>
          <w:rFonts w:hAnsi="Times New Roman"/>
          <w:szCs w:val="24"/>
          <w:lang w:val="es-AR"/>
        </w:rPr>
        <w:t>, 2009: 9). Dicho de otra forma, la incorporación de tecnologías avanzadas no puede ser un punto de partida, sino un punto de llegada de un proceso complejo de evolución tecno-económica</w:t>
      </w:r>
      <w:r>
        <w:rPr>
          <w:rFonts w:hAnsi="Times New Roman"/>
          <w:szCs w:val="24"/>
          <w:lang w:val="es-AR"/>
        </w:rPr>
        <w:t xml:space="preserve"> (</w:t>
      </w:r>
      <w:proofErr w:type="spellStart"/>
      <w:r>
        <w:rPr>
          <w:rFonts w:hAnsi="Times New Roman"/>
          <w:szCs w:val="24"/>
          <w:lang w:val="es-AR"/>
        </w:rPr>
        <w:t>Amsden</w:t>
      </w:r>
      <w:proofErr w:type="spellEnd"/>
      <w:r>
        <w:rPr>
          <w:rFonts w:hAnsi="Times New Roman"/>
          <w:szCs w:val="24"/>
          <w:lang w:val="es-AR"/>
        </w:rPr>
        <w:t>, 2001: Cap. 5)</w:t>
      </w:r>
      <w:r w:rsidRPr="00C95E16">
        <w:rPr>
          <w:rFonts w:hAnsi="Times New Roman"/>
          <w:szCs w:val="24"/>
          <w:lang w:val="es-AR"/>
        </w:rPr>
        <w:t>.</w:t>
      </w:r>
    </w:p>
    <w:p w:rsidR="00E37579" w:rsidRDefault="00E37579" w:rsidP="00EB2ADC">
      <w:pPr>
        <w:pStyle w:val="Predeterminado"/>
        <w:spacing w:line="360" w:lineRule="auto"/>
        <w:jc w:val="both"/>
        <w:rPr>
          <w:rFonts w:hAnsi="Times New Roman"/>
          <w:b/>
          <w:szCs w:val="24"/>
          <w:lang w:val="es-AR"/>
        </w:rPr>
      </w:pPr>
      <w:r w:rsidRPr="001D55A5">
        <w:rPr>
          <w:rFonts w:hAnsi="Times New Roman"/>
          <w:b/>
          <w:szCs w:val="24"/>
          <w:lang w:val="es-AR"/>
        </w:rPr>
        <w:t>El caso ARSAT</w:t>
      </w:r>
    </w:p>
    <w:p w:rsidR="00E37579" w:rsidRDefault="00E37579" w:rsidP="00EB2ADC">
      <w:pPr>
        <w:pStyle w:val="Predeterminado"/>
        <w:spacing w:line="360" w:lineRule="auto"/>
        <w:jc w:val="both"/>
        <w:rPr>
          <w:rFonts w:hAnsi="Times New Roman"/>
          <w:szCs w:val="24"/>
          <w:lang w:val="es-AR"/>
        </w:rPr>
      </w:pPr>
      <w:r w:rsidRPr="005A5FB0">
        <w:rPr>
          <w:rFonts w:hAnsi="Times New Roman"/>
          <w:szCs w:val="24"/>
          <w:lang w:val="es-AR"/>
        </w:rPr>
        <w:t>ARSAT se presenta como caso exitoso de desarrollo tecnológico endógeno</w:t>
      </w:r>
      <w:r>
        <w:rPr>
          <w:rFonts w:hAnsi="Times New Roman"/>
          <w:szCs w:val="24"/>
          <w:lang w:val="es-AR"/>
        </w:rPr>
        <w:t xml:space="preserve"> en un sector estratégico</w:t>
      </w:r>
      <w:r w:rsidRPr="005A5FB0">
        <w:rPr>
          <w:rFonts w:hAnsi="Times New Roman"/>
          <w:szCs w:val="24"/>
          <w:lang w:val="es-AR"/>
        </w:rPr>
        <w:t xml:space="preserve"> de un país en desarrollo que se inicia con una decisión política que es capaz de convertir una política pública en </w:t>
      </w:r>
      <w:r>
        <w:rPr>
          <w:rFonts w:hAnsi="Times New Roman"/>
          <w:szCs w:val="24"/>
          <w:lang w:val="es-AR"/>
        </w:rPr>
        <w:t>política de Estado</w:t>
      </w:r>
      <w:r w:rsidRPr="005A5FB0">
        <w:rPr>
          <w:rFonts w:hAnsi="Times New Roman"/>
          <w:szCs w:val="24"/>
          <w:lang w:val="es-AR"/>
        </w:rPr>
        <w:t>. También es un ejemplo de cómo esta</w:t>
      </w:r>
      <w:r>
        <w:rPr>
          <w:rFonts w:hAnsi="Times New Roman"/>
          <w:szCs w:val="24"/>
          <w:lang w:val="es-AR"/>
        </w:rPr>
        <w:t xml:space="preserve"> intervención del E</w:t>
      </w:r>
      <w:r w:rsidRPr="005A5FB0">
        <w:rPr>
          <w:rFonts w:hAnsi="Times New Roman"/>
          <w:szCs w:val="24"/>
          <w:lang w:val="es-AR"/>
        </w:rPr>
        <w:t xml:space="preserve">stado modifica y define el camino para superar un contexto coyuntural complejo a partir de su capacidad de tomar </w:t>
      </w:r>
      <w:r w:rsidRPr="005A5FB0">
        <w:rPr>
          <w:rFonts w:hAnsi="Times New Roman"/>
          <w:szCs w:val="24"/>
          <w:lang w:val="es-AR"/>
        </w:rPr>
        <w:lastRenderedPageBreak/>
        <w:t xml:space="preserve">riesgo y de impactar simultáneamente en múltiples aspectos logísticos, organizacionales e institucionales, desde garantizar servicios básicos hasta la inversión en proyectos que permitan procesos de escalamiento tecnológico a través de </w:t>
      </w:r>
      <w:proofErr w:type="spellStart"/>
      <w:r w:rsidRPr="005A5FB0">
        <w:rPr>
          <w:rFonts w:hAnsi="Times New Roman"/>
          <w:szCs w:val="24"/>
          <w:lang w:val="es-AR"/>
        </w:rPr>
        <w:t>I+D</w:t>
      </w:r>
      <w:r>
        <w:rPr>
          <w:rFonts w:hAnsi="Times New Roman"/>
          <w:szCs w:val="24"/>
          <w:lang w:val="es-AR"/>
        </w:rPr>
        <w:t>+i</w:t>
      </w:r>
      <w:proofErr w:type="spellEnd"/>
      <w:r w:rsidRPr="005A5FB0">
        <w:rPr>
          <w:rFonts w:hAnsi="Times New Roman"/>
          <w:szCs w:val="24"/>
          <w:lang w:val="es-AR"/>
        </w:rPr>
        <w:t>, transferencia tecnológica, iniciativas de “compra inteligente del Estado”, entre otros. En el horizonte de estos proyectos suele considerarse el impacto social, la producción de efectos multiplicadores en otros sectores de la economía, la generación de empleos de calidad y efectos positivos sobre la balanza comercial.</w:t>
      </w:r>
    </w:p>
    <w:p w:rsidR="00E37579" w:rsidRPr="000B0782" w:rsidRDefault="00E37579" w:rsidP="00137EE2">
      <w:pPr>
        <w:pStyle w:val="Predeterminado"/>
        <w:spacing w:line="360" w:lineRule="auto"/>
        <w:rPr>
          <w:rFonts w:hAnsi="Times New Roman"/>
          <w:lang w:val="es-AR"/>
        </w:rPr>
      </w:pPr>
      <w:r w:rsidRPr="000B0782">
        <w:rPr>
          <w:rFonts w:hAnsi="Times New Roman"/>
          <w:i/>
          <w:lang w:val="es-AR"/>
        </w:rPr>
        <w:t xml:space="preserve">Algo de historia: </w:t>
      </w:r>
      <w:proofErr w:type="spellStart"/>
      <w:r>
        <w:rPr>
          <w:rFonts w:hAnsi="Times New Roman"/>
          <w:i/>
          <w:lang w:val="es-AR"/>
        </w:rPr>
        <w:t>NahuelSat</w:t>
      </w:r>
      <w:proofErr w:type="spellEnd"/>
      <w:r>
        <w:rPr>
          <w:rFonts w:hAnsi="Times New Roman"/>
          <w:i/>
          <w:lang w:val="es-AR"/>
        </w:rPr>
        <w:t xml:space="preserve"> y </w:t>
      </w:r>
      <w:r w:rsidRPr="000B0782">
        <w:rPr>
          <w:rFonts w:hAnsi="Times New Roman"/>
          <w:i/>
          <w:lang w:val="es-AR"/>
        </w:rPr>
        <w:t xml:space="preserve">la </w:t>
      </w:r>
      <w:r>
        <w:rPr>
          <w:rFonts w:hAnsi="Times New Roman"/>
          <w:i/>
          <w:lang w:val="es-AR"/>
        </w:rPr>
        <w:t>des</w:t>
      </w:r>
      <w:r w:rsidRPr="000B0782">
        <w:rPr>
          <w:rFonts w:hAnsi="Times New Roman"/>
          <w:i/>
          <w:lang w:val="es-AR"/>
        </w:rPr>
        <w:t>protección de las posiciones orbitales</w:t>
      </w:r>
      <w:r w:rsidRPr="000B0782">
        <w:rPr>
          <w:rFonts w:hAnsi="Times New Roman"/>
          <w:lang w:val="es-AR"/>
        </w:rPr>
        <w:t xml:space="preserve"> </w:t>
      </w:r>
    </w:p>
    <w:p w:rsidR="00E37579" w:rsidRDefault="00E37579" w:rsidP="00137EE2">
      <w:pPr>
        <w:pStyle w:val="Predeterminado"/>
        <w:spacing w:line="360" w:lineRule="auto"/>
        <w:jc w:val="both"/>
        <w:rPr>
          <w:rFonts w:hAnsi="Times New Roman"/>
          <w:szCs w:val="24"/>
          <w:lang w:val="es-AR" w:eastAsia="es-AR"/>
        </w:rPr>
      </w:pPr>
      <w:r w:rsidRPr="000B0782">
        <w:rPr>
          <w:rFonts w:hAnsi="Times New Roman"/>
          <w:szCs w:val="24"/>
          <w:lang w:val="es-AR"/>
        </w:rPr>
        <w:t>A mediados de diciembre de 1995, durante</w:t>
      </w:r>
      <w:r>
        <w:rPr>
          <w:rFonts w:hAnsi="Times New Roman"/>
          <w:szCs w:val="24"/>
          <w:lang w:val="es-AR"/>
        </w:rPr>
        <w:t xml:space="preserve"> el ciclo de presidencias de Carlos Menem (1989-1999),</w:t>
      </w:r>
      <w:r w:rsidRPr="000B0782">
        <w:rPr>
          <w:rFonts w:hAnsi="Times New Roman"/>
          <w:szCs w:val="24"/>
          <w:lang w:val="es-AR"/>
        </w:rPr>
        <w:t xml:space="preserve"> Germán </w:t>
      </w:r>
      <w:proofErr w:type="spellStart"/>
      <w:r w:rsidRPr="000B0782">
        <w:rPr>
          <w:rFonts w:hAnsi="Times New Roman"/>
          <w:szCs w:val="24"/>
          <w:lang w:val="es-AR"/>
        </w:rPr>
        <w:t>Kammerath</w:t>
      </w:r>
      <w:proofErr w:type="spellEnd"/>
      <w:r>
        <w:rPr>
          <w:rFonts w:hAnsi="Times New Roman"/>
          <w:szCs w:val="24"/>
          <w:lang w:val="es-AR"/>
        </w:rPr>
        <w:t>, al frente de</w:t>
      </w:r>
      <w:r w:rsidRPr="000B0782">
        <w:rPr>
          <w:rFonts w:hAnsi="Times New Roman"/>
          <w:szCs w:val="24"/>
          <w:lang w:val="es-AR"/>
        </w:rPr>
        <w:t xml:space="preserve"> la Secretaría de Comunicaciones</w:t>
      </w:r>
      <w:r>
        <w:rPr>
          <w:rFonts w:hAnsi="Times New Roman"/>
          <w:szCs w:val="24"/>
          <w:lang w:val="es-AR"/>
        </w:rPr>
        <w:t xml:space="preserve">, </w:t>
      </w:r>
      <w:r w:rsidRPr="000B0782">
        <w:rPr>
          <w:rFonts w:hAnsi="Times New Roman"/>
          <w:szCs w:val="24"/>
          <w:lang w:val="es-AR"/>
        </w:rPr>
        <w:t xml:space="preserve">realiza </w:t>
      </w:r>
      <w:r w:rsidRPr="000B0782">
        <w:rPr>
          <w:rFonts w:hAnsi="Times New Roman"/>
          <w:szCs w:val="24"/>
          <w:lang w:val="es-AR" w:eastAsia="es-AR"/>
        </w:rPr>
        <w:t xml:space="preserve">la convocatoria para la compra de acciones. La participación accionaria quedó compuesta por Daimler-Benz </w:t>
      </w:r>
      <w:proofErr w:type="spellStart"/>
      <w:r w:rsidRPr="000B0782">
        <w:rPr>
          <w:rFonts w:hAnsi="Times New Roman"/>
          <w:szCs w:val="24"/>
          <w:lang w:val="es-AR" w:eastAsia="es-AR"/>
        </w:rPr>
        <w:t>Aerospace</w:t>
      </w:r>
      <w:proofErr w:type="spellEnd"/>
      <w:r w:rsidRPr="000B0782">
        <w:rPr>
          <w:rFonts w:hAnsi="Times New Roman"/>
          <w:szCs w:val="24"/>
          <w:lang w:val="es-AR" w:eastAsia="es-AR"/>
        </w:rPr>
        <w:t xml:space="preserve"> (11%), </w:t>
      </w:r>
      <w:proofErr w:type="spellStart"/>
      <w:r w:rsidRPr="000B0782">
        <w:rPr>
          <w:rFonts w:hAnsi="Times New Roman"/>
          <w:szCs w:val="24"/>
          <w:lang w:val="es-AR" w:eastAsia="es-AR"/>
        </w:rPr>
        <w:t>Aerospatiale</w:t>
      </w:r>
      <w:proofErr w:type="spellEnd"/>
      <w:r w:rsidRPr="000B0782">
        <w:rPr>
          <w:rFonts w:hAnsi="Times New Roman"/>
          <w:szCs w:val="24"/>
          <w:lang w:val="es-AR" w:eastAsia="es-AR"/>
        </w:rPr>
        <w:t xml:space="preserve"> (10%), </w:t>
      </w:r>
      <w:proofErr w:type="spellStart"/>
      <w:r w:rsidRPr="000B0782">
        <w:rPr>
          <w:rFonts w:hAnsi="Times New Roman"/>
          <w:szCs w:val="24"/>
          <w:lang w:val="es-AR" w:eastAsia="es-AR"/>
        </w:rPr>
        <w:t>Alenia</w:t>
      </w:r>
      <w:proofErr w:type="spellEnd"/>
      <w:r w:rsidRPr="000B0782">
        <w:rPr>
          <w:rFonts w:hAnsi="Times New Roman"/>
          <w:szCs w:val="24"/>
          <w:lang w:val="es-AR" w:eastAsia="es-AR"/>
        </w:rPr>
        <w:t xml:space="preserve"> </w:t>
      </w:r>
      <w:proofErr w:type="spellStart"/>
      <w:r w:rsidRPr="000B0782">
        <w:rPr>
          <w:rFonts w:hAnsi="Times New Roman"/>
          <w:szCs w:val="24"/>
          <w:lang w:val="es-AR" w:eastAsia="es-AR"/>
        </w:rPr>
        <w:t>Spazio</w:t>
      </w:r>
      <w:proofErr w:type="spellEnd"/>
      <w:r w:rsidRPr="000B0782">
        <w:rPr>
          <w:rFonts w:hAnsi="Times New Roman"/>
          <w:szCs w:val="24"/>
          <w:lang w:val="es-AR" w:eastAsia="es-AR"/>
        </w:rPr>
        <w:t xml:space="preserve"> (10%), </w:t>
      </w:r>
      <w:proofErr w:type="spellStart"/>
      <w:r w:rsidRPr="000B0782">
        <w:rPr>
          <w:rFonts w:hAnsi="Times New Roman"/>
          <w:szCs w:val="24"/>
          <w:lang w:val="es-AR" w:eastAsia="es-AR"/>
        </w:rPr>
        <w:t>Richefore</w:t>
      </w:r>
      <w:proofErr w:type="spellEnd"/>
      <w:r w:rsidRPr="000B0782">
        <w:rPr>
          <w:rFonts w:hAnsi="Times New Roman"/>
          <w:szCs w:val="24"/>
          <w:lang w:val="es-AR" w:eastAsia="es-AR"/>
        </w:rPr>
        <w:t xml:space="preserve"> </w:t>
      </w:r>
      <w:proofErr w:type="spellStart"/>
      <w:r w:rsidRPr="000B0782">
        <w:rPr>
          <w:rFonts w:hAnsi="Times New Roman"/>
          <w:szCs w:val="24"/>
          <w:lang w:val="es-AR" w:eastAsia="es-AR"/>
        </w:rPr>
        <w:t>Satellite</w:t>
      </w:r>
      <w:proofErr w:type="spellEnd"/>
      <w:r w:rsidRPr="000B0782">
        <w:rPr>
          <w:rFonts w:hAnsi="Times New Roman"/>
          <w:szCs w:val="24"/>
          <w:lang w:val="es-AR" w:eastAsia="es-AR"/>
        </w:rPr>
        <w:t xml:space="preserve"> Holding </w:t>
      </w:r>
      <w:proofErr w:type="spellStart"/>
      <w:r w:rsidRPr="000B0782">
        <w:rPr>
          <w:rFonts w:hAnsi="Times New Roman"/>
          <w:szCs w:val="24"/>
          <w:lang w:val="es-AR" w:eastAsia="es-AR"/>
        </w:rPr>
        <w:t>Ltd</w:t>
      </w:r>
      <w:proofErr w:type="spellEnd"/>
      <w:r w:rsidRPr="000B0782">
        <w:rPr>
          <w:rFonts w:hAnsi="Times New Roman"/>
          <w:szCs w:val="24"/>
          <w:lang w:val="es-AR" w:eastAsia="es-AR"/>
        </w:rPr>
        <w:t xml:space="preserve"> (Jersey, </w:t>
      </w:r>
      <w:proofErr w:type="spellStart"/>
      <w:r w:rsidRPr="000B0782">
        <w:rPr>
          <w:rFonts w:hAnsi="Times New Roman"/>
          <w:szCs w:val="24"/>
          <w:lang w:val="es-AR" w:eastAsia="es-AR"/>
        </w:rPr>
        <w:t>Chanell</w:t>
      </w:r>
      <w:proofErr w:type="spellEnd"/>
      <w:r w:rsidRPr="000B0782">
        <w:rPr>
          <w:rFonts w:hAnsi="Times New Roman"/>
          <w:szCs w:val="24"/>
          <w:lang w:val="es-AR" w:eastAsia="es-AR"/>
        </w:rPr>
        <w:t xml:space="preserve"> Island, 17.5%), </w:t>
      </w:r>
      <w:proofErr w:type="spellStart"/>
      <w:r w:rsidRPr="000B0782">
        <w:rPr>
          <w:rFonts w:hAnsi="Times New Roman"/>
          <w:szCs w:val="24"/>
          <w:lang w:val="es-AR" w:eastAsia="es-AR"/>
        </w:rPr>
        <w:t>Lampebank</w:t>
      </w:r>
      <w:proofErr w:type="spellEnd"/>
      <w:r w:rsidRPr="000B0782">
        <w:rPr>
          <w:rFonts w:hAnsi="Times New Roman"/>
          <w:szCs w:val="24"/>
          <w:lang w:val="es-AR" w:eastAsia="es-AR"/>
        </w:rPr>
        <w:t xml:space="preserve"> International (</w:t>
      </w:r>
      <w:proofErr w:type="spellStart"/>
      <w:r w:rsidRPr="000B0782">
        <w:rPr>
          <w:rFonts w:hAnsi="Times New Roman"/>
          <w:szCs w:val="24"/>
          <w:lang w:val="es-AR" w:eastAsia="es-AR"/>
        </w:rPr>
        <w:t>Luxembourg</w:t>
      </w:r>
      <w:proofErr w:type="spellEnd"/>
      <w:r w:rsidRPr="000B0782">
        <w:rPr>
          <w:rFonts w:hAnsi="Times New Roman"/>
          <w:szCs w:val="24"/>
          <w:lang w:val="es-AR" w:eastAsia="es-AR"/>
        </w:rPr>
        <w:t xml:space="preserve">, 11.5%), International </w:t>
      </w:r>
      <w:proofErr w:type="spellStart"/>
      <w:r w:rsidRPr="000B0782">
        <w:rPr>
          <w:rFonts w:hAnsi="Times New Roman"/>
          <w:szCs w:val="24"/>
          <w:lang w:val="es-AR" w:eastAsia="es-AR"/>
        </w:rPr>
        <w:t>Finance</w:t>
      </w:r>
      <w:proofErr w:type="spellEnd"/>
      <w:r w:rsidRPr="000B0782">
        <w:rPr>
          <w:rFonts w:hAnsi="Times New Roman"/>
          <w:szCs w:val="24"/>
          <w:lang w:val="es-AR" w:eastAsia="es-AR"/>
        </w:rPr>
        <w:t xml:space="preserve"> </w:t>
      </w:r>
      <w:proofErr w:type="spellStart"/>
      <w:r w:rsidRPr="000B0782">
        <w:rPr>
          <w:rFonts w:hAnsi="Times New Roman"/>
          <w:szCs w:val="24"/>
          <w:lang w:val="es-AR" w:eastAsia="es-AR"/>
        </w:rPr>
        <w:t>Corporation</w:t>
      </w:r>
      <w:proofErr w:type="spellEnd"/>
      <w:r w:rsidRPr="000B0782">
        <w:rPr>
          <w:rFonts w:hAnsi="Times New Roman"/>
          <w:szCs w:val="24"/>
          <w:lang w:val="es-AR" w:eastAsia="es-AR"/>
        </w:rPr>
        <w:t xml:space="preserve"> (IFC del </w:t>
      </w:r>
      <w:proofErr w:type="spellStart"/>
      <w:r w:rsidRPr="000B0782">
        <w:rPr>
          <w:rFonts w:hAnsi="Times New Roman"/>
          <w:szCs w:val="24"/>
          <w:lang w:val="es-AR" w:eastAsia="es-AR"/>
        </w:rPr>
        <w:t>World</w:t>
      </w:r>
      <w:proofErr w:type="spellEnd"/>
      <w:r w:rsidRPr="000B0782">
        <w:rPr>
          <w:rFonts w:hAnsi="Times New Roman"/>
          <w:szCs w:val="24"/>
          <w:lang w:val="es-AR" w:eastAsia="es-AR"/>
        </w:rPr>
        <w:t xml:space="preserve"> Bank </w:t>
      </w:r>
      <w:proofErr w:type="spellStart"/>
      <w:r w:rsidRPr="000B0782">
        <w:rPr>
          <w:rFonts w:hAnsi="Times New Roman"/>
          <w:szCs w:val="24"/>
          <w:lang w:val="es-AR" w:eastAsia="es-AR"/>
        </w:rPr>
        <w:t>Group</w:t>
      </w:r>
      <w:proofErr w:type="spellEnd"/>
      <w:r w:rsidRPr="000B0782">
        <w:rPr>
          <w:rFonts w:hAnsi="Times New Roman"/>
          <w:szCs w:val="24"/>
          <w:lang w:val="es-AR" w:eastAsia="es-AR"/>
        </w:rPr>
        <w:t xml:space="preserve">, 5%), Banco de la Provincia </w:t>
      </w:r>
      <w:proofErr w:type="spellStart"/>
      <w:r w:rsidRPr="000B0782">
        <w:rPr>
          <w:rFonts w:hAnsi="Times New Roman"/>
          <w:szCs w:val="24"/>
          <w:lang w:val="es-AR" w:eastAsia="es-AR"/>
        </w:rPr>
        <w:t>Group</w:t>
      </w:r>
      <w:proofErr w:type="spellEnd"/>
      <w:r w:rsidRPr="000B0782">
        <w:rPr>
          <w:rFonts w:hAnsi="Times New Roman"/>
          <w:szCs w:val="24"/>
          <w:lang w:val="es-AR" w:eastAsia="es-AR"/>
        </w:rPr>
        <w:t xml:space="preserve"> (Argentina, 11.5%), BISA/</w:t>
      </w:r>
      <w:proofErr w:type="spellStart"/>
      <w:r w:rsidRPr="000B0782">
        <w:rPr>
          <w:rFonts w:hAnsi="Times New Roman"/>
          <w:szCs w:val="24"/>
          <w:lang w:val="es-AR" w:eastAsia="es-AR"/>
        </w:rPr>
        <w:t>Bemberg</w:t>
      </w:r>
      <w:proofErr w:type="spellEnd"/>
      <w:r w:rsidRPr="000B0782">
        <w:rPr>
          <w:rFonts w:hAnsi="Times New Roman"/>
          <w:szCs w:val="24"/>
          <w:lang w:val="es-AR" w:eastAsia="es-AR"/>
        </w:rPr>
        <w:t xml:space="preserve"> </w:t>
      </w:r>
      <w:proofErr w:type="spellStart"/>
      <w:r w:rsidRPr="000B0782">
        <w:rPr>
          <w:rFonts w:hAnsi="Times New Roman"/>
          <w:szCs w:val="24"/>
          <w:lang w:val="es-AR" w:eastAsia="es-AR"/>
        </w:rPr>
        <w:t>Group</w:t>
      </w:r>
      <w:proofErr w:type="spellEnd"/>
      <w:r w:rsidRPr="000B0782">
        <w:rPr>
          <w:rFonts w:hAnsi="Times New Roman"/>
          <w:szCs w:val="24"/>
          <w:lang w:val="es-AR" w:eastAsia="es-AR"/>
        </w:rPr>
        <w:t xml:space="preserve"> (Argentina, 11.5%), ANTEL (Uruguay, 6.5%) y </w:t>
      </w:r>
      <w:proofErr w:type="spellStart"/>
      <w:r w:rsidRPr="000B0782">
        <w:rPr>
          <w:rFonts w:hAnsi="Times New Roman"/>
          <w:szCs w:val="24"/>
          <w:lang w:val="es-AR" w:eastAsia="es-AR"/>
        </w:rPr>
        <w:t>Publicom</w:t>
      </w:r>
      <w:proofErr w:type="spellEnd"/>
      <w:r w:rsidRPr="000B0782">
        <w:rPr>
          <w:rFonts w:hAnsi="Times New Roman"/>
          <w:szCs w:val="24"/>
          <w:lang w:val="es-AR" w:eastAsia="es-AR"/>
        </w:rPr>
        <w:t xml:space="preserve"> SA (Argentina, 5.75%) (</w:t>
      </w:r>
      <w:proofErr w:type="spellStart"/>
      <w:r w:rsidRPr="000B0782">
        <w:rPr>
          <w:rFonts w:hAnsi="Times New Roman"/>
          <w:szCs w:val="24"/>
          <w:lang w:val="es-AR" w:eastAsia="es-AR"/>
        </w:rPr>
        <w:t>Oyarzábal</w:t>
      </w:r>
      <w:proofErr w:type="spellEnd"/>
      <w:r w:rsidRPr="000B0782">
        <w:rPr>
          <w:rFonts w:hAnsi="Times New Roman"/>
          <w:szCs w:val="24"/>
          <w:lang w:val="es-AR" w:eastAsia="es-AR"/>
        </w:rPr>
        <w:t>, 1997: 17).</w:t>
      </w:r>
      <w:r w:rsidRPr="000B0782">
        <w:rPr>
          <w:rFonts w:hAnsi="Times New Roman"/>
          <w:szCs w:val="24"/>
          <w:vertAlign w:val="superscript"/>
          <w:lang w:val="es-AR"/>
        </w:rPr>
        <w:footnoteReference w:id="9"/>
      </w:r>
    </w:p>
    <w:p w:rsidR="00E37579" w:rsidRPr="000B0782" w:rsidRDefault="00E37579" w:rsidP="00137EE2">
      <w:pPr>
        <w:pStyle w:val="Predeterminado"/>
        <w:spacing w:line="360" w:lineRule="auto"/>
        <w:jc w:val="both"/>
        <w:rPr>
          <w:rFonts w:hAnsi="Times New Roman"/>
          <w:lang w:val="es-AR"/>
        </w:rPr>
      </w:pPr>
      <w:proofErr w:type="spellStart"/>
      <w:r w:rsidRPr="009231A3">
        <w:rPr>
          <w:rFonts w:hAnsi="Times New Roman"/>
          <w:szCs w:val="24"/>
          <w:lang w:val="es-AR" w:eastAsia="es-AR"/>
        </w:rPr>
        <w:t>NahuelSat</w:t>
      </w:r>
      <w:proofErr w:type="spellEnd"/>
      <w:r w:rsidRPr="009231A3">
        <w:rPr>
          <w:rFonts w:hAnsi="Times New Roman"/>
          <w:szCs w:val="24"/>
          <w:lang w:val="es-AR" w:eastAsia="es-AR"/>
        </w:rPr>
        <w:t xml:space="preserve"> recibió del Estado argentino una licencia por 24 años, que podía extenderse por seis años adicionales, para operar el </w:t>
      </w:r>
      <w:r>
        <w:rPr>
          <w:rFonts w:hAnsi="Times New Roman"/>
          <w:szCs w:val="24"/>
          <w:lang w:val="es-AR" w:eastAsia="es-AR"/>
        </w:rPr>
        <w:t>“Sistema de Satélite Nacional Multipropósito”</w:t>
      </w:r>
      <w:r w:rsidRPr="009231A3">
        <w:rPr>
          <w:rFonts w:hAnsi="Times New Roman"/>
          <w:szCs w:val="24"/>
          <w:lang w:val="es-AR" w:eastAsia="es-AR"/>
        </w:rPr>
        <w:t xml:space="preserve">. Con este fin, también se le transfirió la gestión de la posición orbital </w:t>
      </w:r>
      <w:r>
        <w:rPr>
          <w:rFonts w:hAnsi="Times New Roman"/>
          <w:szCs w:val="24"/>
          <w:lang w:val="es-AR" w:eastAsia="es-AR"/>
        </w:rPr>
        <w:t xml:space="preserve">geoestacionaria (POG) de </w:t>
      </w:r>
      <w:r>
        <w:rPr>
          <w:rFonts w:hAnsi="Times New Roman"/>
          <w:szCs w:val="24"/>
          <w:lang w:val="es-AR"/>
        </w:rPr>
        <w:t>72° de longitud oeste (72</w:t>
      </w:r>
      <w:r w:rsidRPr="009231A3">
        <w:rPr>
          <w:rFonts w:hAnsi="Times New Roman"/>
          <w:szCs w:val="24"/>
          <w:lang w:val="es-AR"/>
        </w:rPr>
        <w:t>° O)</w:t>
      </w:r>
      <w:r w:rsidRPr="009231A3">
        <w:rPr>
          <w:rFonts w:hAnsi="Times New Roman"/>
          <w:szCs w:val="24"/>
          <w:lang w:val="es-AR" w:eastAsia="es-AR"/>
        </w:rPr>
        <w:t xml:space="preserve"> que había sido asignada por la Unión Internacional de Telecomunicaciones (UIT) y las que pudieran sumarse en el futuro. En junio de 1996, </w:t>
      </w:r>
      <w:proofErr w:type="spellStart"/>
      <w:r w:rsidRPr="009231A3">
        <w:rPr>
          <w:rFonts w:hAnsi="Times New Roman"/>
          <w:szCs w:val="24"/>
          <w:lang w:val="es-AR" w:eastAsia="es-AR"/>
        </w:rPr>
        <w:t>NahuelSat</w:t>
      </w:r>
      <w:proofErr w:type="spellEnd"/>
      <w:r w:rsidRPr="009231A3">
        <w:rPr>
          <w:rFonts w:hAnsi="Times New Roman"/>
          <w:szCs w:val="24"/>
          <w:lang w:val="es-AR" w:eastAsia="es-AR"/>
        </w:rPr>
        <w:t xml:space="preserve"> inauguró la Estación Terrena de </w:t>
      </w:r>
      <w:proofErr w:type="spellStart"/>
      <w:r w:rsidRPr="009231A3">
        <w:rPr>
          <w:rFonts w:hAnsi="Times New Roman"/>
          <w:szCs w:val="24"/>
          <w:lang w:val="es-AR" w:eastAsia="es-AR"/>
        </w:rPr>
        <w:t>Benavídez</w:t>
      </w:r>
      <w:proofErr w:type="spellEnd"/>
      <w:r w:rsidRPr="009231A3">
        <w:rPr>
          <w:rFonts w:hAnsi="Times New Roman"/>
          <w:szCs w:val="24"/>
          <w:lang w:val="es-AR" w:eastAsia="es-AR"/>
        </w:rPr>
        <w:t>, ubicada en el partido de Tigre, provincia de Buenos Aires.</w:t>
      </w:r>
      <w:r w:rsidRPr="009231A3">
        <w:rPr>
          <w:rFonts w:hAnsi="Times New Roman"/>
          <w:color w:val="000000"/>
          <w:szCs w:val="24"/>
          <w:lang w:val="es-AR"/>
        </w:rPr>
        <w:t xml:space="preserve"> </w:t>
      </w:r>
      <w:r>
        <w:rPr>
          <w:rFonts w:hAnsi="Times New Roman"/>
          <w:szCs w:val="24"/>
          <w:lang w:val="es-AR" w:eastAsia="es-AR"/>
        </w:rPr>
        <w:t>En</w:t>
      </w:r>
      <w:r w:rsidRPr="009231A3">
        <w:rPr>
          <w:rFonts w:hAnsi="Times New Roman"/>
          <w:szCs w:val="24"/>
          <w:lang w:val="es-AR" w:eastAsia="es-AR"/>
        </w:rPr>
        <w:t xml:space="preserve"> enero del año siguiente fue lanzado con éxito desde </w:t>
      </w:r>
      <w:proofErr w:type="spellStart"/>
      <w:r w:rsidRPr="009231A3">
        <w:rPr>
          <w:rFonts w:hAnsi="Times New Roman"/>
          <w:szCs w:val="24"/>
          <w:lang w:val="es-AR" w:eastAsia="es-AR"/>
        </w:rPr>
        <w:t>Kourou</w:t>
      </w:r>
      <w:proofErr w:type="spellEnd"/>
      <w:r w:rsidRPr="009231A3">
        <w:rPr>
          <w:rFonts w:hAnsi="Times New Roman"/>
          <w:szCs w:val="24"/>
          <w:lang w:val="es-AR" w:eastAsia="es-AR"/>
        </w:rPr>
        <w:t xml:space="preserve"> (Guayana Francesa) y puesto en la posición orbital argentina el satéli</w:t>
      </w:r>
      <w:r>
        <w:rPr>
          <w:rFonts w:hAnsi="Times New Roman"/>
          <w:szCs w:val="24"/>
          <w:lang w:val="es-AR" w:eastAsia="es-AR"/>
        </w:rPr>
        <w:t xml:space="preserve">te de </w:t>
      </w:r>
      <w:proofErr w:type="gramStart"/>
      <w:r>
        <w:rPr>
          <w:rFonts w:hAnsi="Times New Roman"/>
          <w:szCs w:val="24"/>
          <w:lang w:val="es-AR" w:eastAsia="es-AR"/>
        </w:rPr>
        <w:t>telecomunicaciones Nahuel-</w:t>
      </w:r>
      <w:r w:rsidRPr="009231A3">
        <w:rPr>
          <w:rFonts w:hAnsi="Times New Roman"/>
          <w:szCs w:val="24"/>
          <w:lang w:val="es-AR" w:eastAsia="es-AR"/>
        </w:rPr>
        <w:t>1, construido</w:t>
      </w:r>
      <w:proofErr w:type="gramEnd"/>
      <w:r w:rsidRPr="009231A3">
        <w:rPr>
          <w:rFonts w:hAnsi="Times New Roman"/>
          <w:szCs w:val="24"/>
          <w:lang w:val="es-AR" w:eastAsia="es-AR"/>
        </w:rPr>
        <w:t xml:space="preserve"> por los grupos alemán y francés con acciones en </w:t>
      </w:r>
      <w:proofErr w:type="spellStart"/>
      <w:r w:rsidRPr="009231A3">
        <w:rPr>
          <w:rFonts w:hAnsi="Times New Roman"/>
          <w:szCs w:val="24"/>
          <w:lang w:val="es-AR" w:eastAsia="es-AR"/>
        </w:rPr>
        <w:t>NahuelSat</w:t>
      </w:r>
      <w:proofErr w:type="spellEnd"/>
      <w:r w:rsidRPr="009231A3">
        <w:rPr>
          <w:rFonts w:hAnsi="Times New Roman"/>
          <w:szCs w:val="24"/>
          <w:lang w:val="es-AR" w:eastAsia="es-AR"/>
        </w:rPr>
        <w:t>.</w:t>
      </w:r>
      <w:r>
        <w:rPr>
          <w:rFonts w:hAnsi="Times New Roman"/>
          <w:szCs w:val="24"/>
          <w:lang w:val="es-AR" w:eastAsia="es-AR"/>
        </w:rPr>
        <w:t xml:space="preserve"> </w:t>
      </w:r>
      <w:r>
        <w:rPr>
          <w:rFonts w:hAnsi="Times New Roman"/>
          <w:lang w:val="es-AR"/>
        </w:rPr>
        <w:t>Al mismo tiempo, p</w:t>
      </w:r>
      <w:r w:rsidRPr="001D55A5">
        <w:rPr>
          <w:rFonts w:hAnsi="Times New Roman"/>
          <w:lang w:val="es-AR"/>
        </w:rPr>
        <w:t xml:space="preserve">or un requerimiento de las compañías de seguros, </w:t>
      </w:r>
      <w:r>
        <w:rPr>
          <w:rFonts w:hAnsi="Times New Roman"/>
          <w:lang w:val="es-AR"/>
        </w:rPr>
        <w:t xml:space="preserve">fue construido </w:t>
      </w:r>
      <w:r w:rsidRPr="001D55A5">
        <w:rPr>
          <w:rFonts w:hAnsi="Times New Roman"/>
          <w:lang w:val="es-AR"/>
        </w:rPr>
        <w:t>un gem</w:t>
      </w:r>
      <w:r>
        <w:rPr>
          <w:rFonts w:hAnsi="Times New Roman"/>
          <w:lang w:val="es-AR"/>
        </w:rPr>
        <w:t>elo de ese satélite, que podría en el futuro</w:t>
      </w:r>
      <w:r w:rsidRPr="001D55A5">
        <w:rPr>
          <w:rFonts w:hAnsi="Times New Roman"/>
          <w:lang w:val="es-AR"/>
        </w:rPr>
        <w:t xml:space="preserve"> oc</w:t>
      </w:r>
      <w:r>
        <w:rPr>
          <w:rFonts w:hAnsi="Times New Roman"/>
          <w:lang w:val="es-AR"/>
        </w:rPr>
        <w:t xml:space="preserve">upar la posición orbital que la Argentina esperaba obtener de la UIT. </w:t>
      </w:r>
    </w:p>
    <w:p w:rsidR="00E37579" w:rsidRPr="00B323F2" w:rsidRDefault="00E37579" w:rsidP="00137EE2">
      <w:pPr>
        <w:pStyle w:val="Predeterminado"/>
        <w:spacing w:line="360" w:lineRule="auto"/>
        <w:jc w:val="both"/>
        <w:rPr>
          <w:rFonts w:hAnsi="Times New Roman"/>
          <w:szCs w:val="24"/>
          <w:lang w:val="es-AR"/>
        </w:rPr>
      </w:pPr>
      <w:r w:rsidRPr="00B323F2">
        <w:rPr>
          <w:rStyle w:val="A13"/>
          <w:rFonts w:hAnsi="Times New Roman"/>
          <w:sz w:val="24"/>
          <w:szCs w:val="24"/>
          <w:lang w:val="es-AR"/>
        </w:rPr>
        <w:t>En junio de 1998, los gobiernos de</w:t>
      </w:r>
      <w:r>
        <w:rPr>
          <w:rStyle w:val="A13"/>
          <w:rFonts w:hAnsi="Times New Roman"/>
          <w:sz w:val="24"/>
          <w:szCs w:val="24"/>
          <w:lang w:val="es-AR"/>
        </w:rPr>
        <w:t xml:space="preserve"> Argentina y</w:t>
      </w:r>
      <w:r w:rsidRPr="00B323F2">
        <w:rPr>
          <w:rStyle w:val="A13"/>
          <w:rFonts w:hAnsi="Times New Roman"/>
          <w:sz w:val="24"/>
          <w:szCs w:val="24"/>
          <w:lang w:val="es-AR"/>
        </w:rPr>
        <w:t xml:space="preserve"> EEUU firmaron un acuerdo de reciprocidad </w:t>
      </w:r>
      <w:r>
        <w:rPr>
          <w:rStyle w:val="A13"/>
          <w:rFonts w:hAnsi="Times New Roman"/>
          <w:sz w:val="24"/>
          <w:szCs w:val="24"/>
          <w:lang w:val="es-AR"/>
        </w:rPr>
        <w:t>motivado por la presión de</w:t>
      </w:r>
      <w:r w:rsidRPr="00B323F2">
        <w:rPr>
          <w:rStyle w:val="A13"/>
          <w:rFonts w:hAnsi="Times New Roman"/>
          <w:sz w:val="24"/>
          <w:szCs w:val="24"/>
          <w:lang w:val="es-AR"/>
        </w:rPr>
        <w:t xml:space="preserve"> </w:t>
      </w:r>
      <w:proofErr w:type="spellStart"/>
      <w:r w:rsidRPr="00B323F2">
        <w:rPr>
          <w:rStyle w:val="A13"/>
          <w:rFonts w:hAnsi="Times New Roman"/>
          <w:sz w:val="24"/>
          <w:szCs w:val="24"/>
          <w:lang w:val="es-AR"/>
        </w:rPr>
        <w:t>DirecTV</w:t>
      </w:r>
      <w:proofErr w:type="spellEnd"/>
      <w:r w:rsidRPr="00B323F2">
        <w:rPr>
          <w:rStyle w:val="A13"/>
          <w:rFonts w:hAnsi="Times New Roman"/>
          <w:sz w:val="24"/>
          <w:szCs w:val="24"/>
          <w:lang w:val="es-AR"/>
        </w:rPr>
        <w:t xml:space="preserve"> para entrar al mercado argenti</w:t>
      </w:r>
      <w:r w:rsidRPr="00B323F2">
        <w:rPr>
          <w:rStyle w:val="A13"/>
          <w:rFonts w:hAnsi="Times New Roman"/>
          <w:sz w:val="24"/>
          <w:szCs w:val="24"/>
          <w:lang w:val="es-AR"/>
        </w:rPr>
        <w:softHyphen/>
        <w:t xml:space="preserve">no a transmitir el Mundial de Fútbol de Francia. </w:t>
      </w:r>
      <w:r>
        <w:rPr>
          <w:rStyle w:val="A13"/>
          <w:rFonts w:hAnsi="Times New Roman"/>
          <w:sz w:val="24"/>
          <w:szCs w:val="24"/>
          <w:lang w:val="es-AR"/>
        </w:rPr>
        <w:t>El</w:t>
      </w:r>
      <w:r w:rsidRPr="00B323F2">
        <w:rPr>
          <w:rStyle w:val="A13"/>
          <w:rFonts w:hAnsi="Times New Roman"/>
          <w:sz w:val="24"/>
          <w:szCs w:val="24"/>
          <w:lang w:val="es-AR"/>
        </w:rPr>
        <w:t xml:space="preserve"> con</w:t>
      </w:r>
      <w:r w:rsidRPr="00B323F2">
        <w:rPr>
          <w:rStyle w:val="A13"/>
          <w:rFonts w:hAnsi="Times New Roman"/>
          <w:sz w:val="24"/>
          <w:szCs w:val="24"/>
          <w:lang w:val="es-AR"/>
        </w:rPr>
        <w:softHyphen/>
        <w:t>cepto de “reciprocidad”</w:t>
      </w:r>
      <w:r>
        <w:rPr>
          <w:rStyle w:val="A13"/>
          <w:rFonts w:hAnsi="Times New Roman"/>
          <w:sz w:val="24"/>
          <w:szCs w:val="24"/>
          <w:lang w:val="es-AR"/>
        </w:rPr>
        <w:t xml:space="preserve"> aplicado era ficticio</w:t>
      </w:r>
      <w:r w:rsidRPr="00B323F2">
        <w:rPr>
          <w:rStyle w:val="A13"/>
          <w:rFonts w:hAnsi="Times New Roman"/>
          <w:sz w:val="24"/>
          <w:szCs w:val="24"/>
          <w:lang w:val="es-AR"/>
        </w:rPr>
        <w:t xml:space="preserve"> </w:t>
      </w:r>
      <w:r>
        <w:rPr>
          <w:rStyle w:val="A13"/>
          <w:rFonts w:hAnsi="Times New Roman"/>
          <w:sz w:val="24"/>
          <w:szCs w:val="24"/>
          <w:lang w:val="es-AR"/>
        </w:rPr>
        <w:t>y</w:t>
      </w:r>
      <w:r w:rsidRPr="00B323F2">
        <w:rPr>
          <w:rStyle w:val="A13"/>
          <w:rFonts w:hAnsi="Times New Roman"/>
          <w:sz w:val="24"/>
          <w:szCs w:val="24"/>
          <w:lang w:val="es-AR"/>
        </w:rPr>
        <w:t xml:space="preserve"> muy desfa</w:t>
      </w:r>
      <w:r w:rsidRPr="00B323F2">
        <w:rPr>
          <w:rStyle w:val="A13"/>
          <w:rFonts w:hAnsi="Times New Roman"/>
          <w:sz w:val="24"/>
          <w:szCs w:val="24"/>
          <w:lang w:val="es-AR"/>
        </w:rPr>
        <w:softHyphen/>
        <w:t xml:space="preserve">vorable para </w:t>
      </w:r>
      <w:proofErr w:type="spellStart"/>
      <w:r w:rsidRPr="00B323F2">
        <w:rPr>
          <w:rStyle w:val="A13"/>
          <w:rFonts w:hAnsi="Times New Roman"/>
          <w:sz w:val="24"/>
          <w:szCs w:val="24"/>
          <w:lang w:val="es-AR"/>
        </w:rPr>
        <w:t>NahuelSat</w:t>
      </w:r>
      <w:proofErr w:type="spellEnd"/>
      <w:r w:rsidRPr="00B323F2">
        <w:rPr>
          <w:rStyle w:val="A13"/>
          <w:rFonts w:hAnsi="Times New Roman"/>
          <w:sz w:val="24"/>
          <w:szCs w:val="24"/>
          <w:lang w:val="es-AR"/>
        </w:rPr>
        <w:t>, que enfrentaba el au</w:t>
      </w:r>
      <w:r w:rsidRPr="00B323F2">
        <w:rPr>
          <w:rStyle w:val="A13"/>
          <w:rFonts w:hAnsi="Times New Roman"/>
          <w:sz w:val="24"/>
          <w:szCs w:val="24"/>
          <w:lang w:val="es-AR"/>
        </w:rPr>
        <w:softHyphen/>
        <w:t>mento de competencia en el merca</w:t>
      </w:r>
      <w:r>
        <w:rPr>
          <w:rStyle w:val="A13"/>
          <w:rFonts w:hAnsi="Times New Roman"/>
          <w:sz w:val="24"/>
          <w:szCs w:val="24"/>
          <w:lang w:val="es-AR"/>
        </w:rPr>
        <w:t xml:space="preserve">do local. La reacción de </w:t>
      </w:r>
      <w:proofErr w:type="spellStart"/>
      <w:r>
        <w:rPr>
          <w:rStyle w:val="A13"/>
          <w:rFonts w:hAnsi="Times New Roman"/>
          <w:sz w:val="24"/>
          <w:szCs w:val="24"/>
          <w:lang w:val="es-AR"/>
        </w:rPr>
        <w:t>NahuelSat</w:t>
      </w:r>
      <w:proofErr w:type="spellEnd"/>
      <w:r>
        <w:rPr>
          <w:rStyle w:val="A13"/>
          <w:rFonts w:hAnsi="Times New Roman"/>
          <w:sz w:val="24"/>
          <w:szCs w:val="24"/>
          <w:lang w:val="es-AR"/>
        </w:rPr>
        <w:t xml:space="preserve"> empujó al</w:t>
      </w:r>
      <w:r w:rsidRPr="00B323F2">
        <w:rPr>
          <w:rStyle w:val="A13"/>
          <w:rFonts w:hAnsi="Times New Roman"/>
          <w:sz w:val="24"/>
          <w:szCs w:val="24"/>
          <w:lang w:val="es-AR"/>
        </w:rPr>
        <w:t xml:space="preserve"> gobier</w:t>
      </w:r>
      <w:r>
        <w:rPr>
          <w:rStyle w:val="A13"/>
          <w:rFonts w:hAnsi="Times New Roman"/>
          <w:sz w:val="24"/>
          <w:szCs w:val="24"/>
          <w:lang w:val="es-AR"/>
        </w:rPr>
        <w:t>no de Menem a negociar la obtención de</w:t>
      </w:r>
      <w:r w:rsidRPr="00B323F2">
        <w:rPr>
          <w:rStyle w:val="A13"/>
          <w:rFonts w:hAnsi="Times New Roman"/>
          <w:sz w:val="24"/>
          <w:szCs w:val="24"/>
          <w:lang w:val="es-AR"/>
        </w:rPr>
        <w:t xml:space="preserve"> una segunda </w:t>
      </w:r>
      <w:r>
        <w:rPr>
          <w:rStyle w:val="A13"/>
          <w:rFonts w:hAnsi="Times New Roman"/>
          <w:sz w:val="24"/>
          <w:szCs w:val="24"/>
          <w:lang w:val="es-AR"/>
        </w:rPr>
        <w:t xml:space="preserve">POG, </w:t>
      </w:r>
      <w:r w:rsidRPr="00B323F2">
        <w:rPr>
          <w:rStyle w:val="A13"/>
          <w:rFonts w:hAnsi="Times New Roman"/>
          <w:sz w:val="24"/>
          <w:szCs w:val="24"/>
          <w:lang w:val="es-AR"/>
        </w:rPr>
        <w:t>ubicada en 81° O</w:t>
      </w:r>
      <w:r>
        <w:rPr>
          <w:rStyle w:val="A13"/>
          <w:rFonts w:hAnsi="Times New Roman"/>
          <w:sz w:val="24"/>
          <w:szCs w:val="24"/>
          <w:lang w:val="es-AR"/>
        </w:rPr>
        <w:t>,</w:t>
      </w:r>
      <w:r w:rsidRPr="00B323F2">
        <w:rPr>
          <w:rStyle w:val="A13"/>
          <w:rFonts w:hAnsi="Times New Roman"/>
          <w:sz w:val="24"/>
          <w:szCs w:val="24"/>
          <w:lang w:val="es-AR"/>
        </w:rPr>
        <w:t xml:space="preserve"> a cambio de</w:t>
      </w:r>
      <w:r>
        <w:rPr>
          <w:rStyle w:val="A13"/>
          <w:rFonts w:hAnsi="Times New Roman"/>
          <w:sz w:val="24"/>
          <w:szCs w:val="24"/>
          <w:lang w:val="es-AR"/>
        </w:rPr>
        <w:t xml:space="preserve">l </w:t>
      </w:r>
      <w:r>
        <w:rPr>
          <w:rStyle w:val="A13"/>
          <w:rFonts w:hAnsi="Times New Roman"/>
          <w:sz w:val="24"/>
          <w:szCs w:val="24"/>
          <w:lang w:val="es-AR"/>
        </w:rPr>
        <w:lastRenderedPageBreak/>
        <w:t>desembarco en el mercado local de</w:t>
      </w:r>
      <w:r w:rsidRPr="00B323F2">
        <w:rPr>
          <w:rStyle w:val="A13"/>
          <w:rFonts w:hAnsi="Times New Roman"/>
          <w:sz w:val="24"/>
          <w:szCs w:val="24"/>
          <w:lang w:val="es-AR"/>
        </w:rPr>
        <w:t xml:space="preserve"> </w:t>
      </w:r>
      <w:proofErr w:type="spellStart"/>
      <w:r w:rsidRPr="00B323F2">
        <w:rPr>
          <w:rStyle w:val="A13"/>
          <w:rFonts w:hAnsi="Times New Roman"/>
          <w:sz w:val="24"/>
          <w:szCs w:val="24"/>
          <w:lang w:val="es-AR"/>
        </w:rPr>
        <w:t>DirecTV</w:t>
      </w:r>
      <w:proofErr w:type="spellEnd"/>
      <w:r>
        <w:rPr>
          <w:rStyle w:val="A13"/>
          <w:rFonts w:hAnsi="Times New Roman"/>
          <w:sz w:val="24"/>
          <w:szCs w:val="24"/>
          <w:lang w:val="es-AR"/>
        </w:rPr>
        <w:t>,</w:t>
      </w:r>
      <w:r w:rsidRPr="00B323F2">
        <w:rPr>
          <w:rStyle w:val="A13"/>
          <w:rFonts w:hAnsi="Times New Roman"/>
          <w:sz w:val="24"/>
          <w:szCs w:val="24"/>
          <w:lang w:val="es-AR"/>
        </w:rPr>
        <w:t xml:space="preserve"> </w:t>
      </w:r>
      <w:r>
        <w:rPr>
          <w:rStyle w:val="A13"/>
          <w:rFonts w:hAnsi="Times New Roman"/>
          <w:sz w:val="24"/>
          <w:szCs w:val="24"/>
          <w:lang w:val="es-AR"/>
        </w:rPr>
        <w:t>f</w:t>
      </w:r>
      <w:r>
        <w:rPr>
          <w:rFonts w:hAnsi="Times New Roman"/>
          <w:lang w:val="es-AR"/>
        </w:rPr>
        <w:t>ilial de</w:t>
      </w:r>
      <w:r w:rsidRPr="001D55A5">
        <w:rPr>
          <w:rFonts w:hAnsi="Times New Roman"/>
          <w:lang w:val="es-AR"/>
        </w:rPr>
        <w:t xml:space="preserve"> Hughes </w:t>
      </w:r>
      <w:proofErr w:type="spellStart"/>
      <w:r>
        <w:rPr>
          <w:rFonts w:hAnsi="Times New Roman"/>
          <w:lang w:val="es-AR"/>
        </w:rPr>
        <w:t>Electronics</w:t>
      </w:r>
      <w:proofErr w:type="spellEnd"/>
      <w:r>
        <w:rPr>
          <w:rFonts w:hAnsi="Times New Roman"/>
          <w:lang w:val="es-AR"/>
        </w:rPr>
        <w:t xml:space="preserve"> asociada al</w:t>
      </w:r>
      <w:r w:rsidRPr="001D55A5">
        <w:rPr>
          <w:rFonts w:hAnsi="Times New Roman"/>
          <w:lang w:val="es-AR"/>
        </w:rPr>
        <w:t xml:space="preserve"> Grupo Clarín y la Organización Cisneros</w:t>
      </w:r>
      <w:r>
        <w:rPr>
          <w:rFonts w:hAnsi="Times New Roman"/>
          <w:lang w:val="es-AR"/>
        </w:rPr>
        <w:t xml:space="preserve"> de Venezuela,</w:t>
      </w:r>
      <w:r w:rsidRPr="001D55A5">
        <w:rPr>
          <w:rFonts w:hAnsi="Times New Roman"/>
          <w:lang w:val="es-AR"/>
        </w:rPr>
        <w:t xml:space="preserve"> para br</w:t>
      </w:r>
      <w:r>
        <w:rPr>
          <w:rFonts w:hAnsi="Times New Roman"/>
          <w:lang w:val="es-AR"/>
        </w:rPr>
        <w:t>indar servicio satelital directo</w:t>
      </w:r>
      <w:r w:rsidRPr="001D55A5">
        <w:rPr>
          <w:rFonts w:hAnsi="Times New Roman"/>
          <w:lang w:val="es-AR"/>
        </w:rPr>
        <w:t xml:space="preserve"> </w:t>
      </w:r>
      <w:r>
        <w:rPr>
          <w:rFonts w:hAnsi="Times New Roman"/>
          <w:lang w:val="es-AR"/>
        </w:rPr>
        <w:t xml:space="preserve">al hogar. La segunda posición fue cedida por GE </w:t>
      </w:r>
      <w:proofErr w:type="spellStart"/>
      <w:r>
        <w:rPr>
          <w:rFonts w:hAnsi="Times New Roman"/>
          <w:lang w:val="es-AR"/>
        </w:rPr>
        <w:t>Americom</w:t>
      </w:r>
      <w:proofErr w:type="spellEnd"/>
      <w:r>
        <w:rPr>
          <w:rFonts w:hAnsi="Times New Roman"/>
          <w:lang w:val="es-AR"/>
        </w:rPr>
        <w:t xml:space="preserve"> (más tarde SES </w:t>
      </w:r>
      <w:proofErr w:type="spellStart"/>
      <w:r>
        <w:rPr>
          <w:rFonts w:hAnsi="Times New Roman"/>
          <w:lang w:val="es-AR"/>
        </w:rPr>
        <w:t>Americom</w:t>
      </w:r>
      <w:proofErr w:type="spellEnd"/>
      <w:r>
        <w:rPr>
          <w:rFonts w:hAnsi="Times New Roman"/>
          <w:lang w:val="es-AR"/>
        </w:rPr>
        <w:t xml:space="preserve">), que más tarde pasaría a ser transitoriamente accionista mayoritario de </w:t>
      </w:r>
      <w:proofErr w:type="spellStart"/>
      <w:r>
        <w:rPr>
          <w:rFonts w:hAnsi="Times New Roman"/>
          <w:lang w:val="es-AR"/>
        </w:rPr>
        <w:t>Nahuelsat</w:t>
      </w:r>
      <w:proofErr w:type="spellEnd"/>
      <w:r>
        <w:rPr>
          <w:rFonts w:hAnsi="Times New Roman"/>
          <w:lang w:val="es-AR"/>
        </w:rPr>
        <w:t xml:space="preserve"> (</w:t>
      </w:r>
      <w:r w:rsidRPr="0048076B">
        <w:rPr>
          <w:rFonts w:hAnsi="Times New Roman"/>
          <w:i/>
          <w:lang w:val="es-AR"/>
        </w:rPr>
        <w:t>Clarín</w:t>
      </w:r>
      <w:r>
        <w:rPr>
          <w:rFonts w:hAnsi="Times New Roman"/>
          <w:lang w:val="es-AR"/>
        </w:rPr>
        <w:t>, 1997).</w:t>
      </w:r>
    </w:p>
    <w:p w:rsidR="00E37579" w:rsidRDefault="00E37579" w:rsidP="00137EE2">
      <w:pPr>
        <w:pStyle w:val="Predeterminado"/>
        <w:spacing w:line="360" w:lineRule="auto"/>
        <w:jc w:val="both"/>
        <w:rPr>
          <w:rFonts w:hAnsi="Times New Roman"/>
          <w:lang w:val="es-AR"/>
        </w:rPr>
      </w:pPr>
      <w:r>
        <w:rPr>
          <w:rFonts w:hAnsi="Times New Roman"/>
          <w:lang w:val="es-AR"/>
        </w:rPr>
        <w:t xml:space="preserve">Luego de varias modificaciones de la composición accionaria, donde jugaban los intereses de las empresas europeas y norteamericanas, </w:t>
      </w:r>
      <w:proofErr w:type="spellStart"/>
      <w:r>
        <w:rPr>
          <w:rFonts w:hAnsi="Times New Roman"/>
          <w:lang w:val="es-AR"/>
        </w:rPr>
        <w:t>NahuelSat</w:t>
      </w:r>
      <w:proofErr w:type="spellEnd"/>
      <w:r>
        <w:rPr>
          <w:rFonts w:hAnsi="Times New Roman"/>
          <w:lang w:val="es-AR"/>
        </w:rPr>
        <w:t xml:space="preserve"> incumplió sistemáticamente con el compromiso de ocupar la POG </w:t>
      </w:r>
      <w:r w:rsidRPr="00D92827">
        <w:rPr>
          <w:rFonts w:hAnsi="Times New Roman"/>
          <w:szCs w:val="24"/>
          <w:lang w:val="es-AR" w:eastAsia="es-AR"/>
        </w:rPr>
        <w:t>de 81° O</w:t>
      </w:r>
      <w:r w:rsidRPr="009231A3">
        <w:rPr>
          <w:rFonts w:hAnsi="Times New Roman"/>
          <w:szCs w:val="24"/>
          <w:lang w:val="es-AR" w:eastAsia="es-AR"/>
        </w:rPr>
        <w:t>.</w:t>
      </w:r>
      <w:r>
        <w:rPr>
          <w:rFonts w:hAnsi="Times New Roman"/>
          <w:lang w:val="es-AR"/>
        </w:rPr>
        <w:t xml:space="preserve"> Como </w:t>
      </w:r>
      <w:r w:rsidRPr="001D55A5">
        <w:rPr>
          <w:rFonts w:hAnsi="Times New Roman"/>
          <w:lang w:val="es-AR"/>
        </w:rPr>
        <w:t xml:space="preserve">exige el reglamento de la UIT, si la </w:t>
      </w:r>
      <w:r>
        <w:rPr>
          <w:rFonts w:hAnsi="Times New Roman"/>
          <w:lang w:val="es-AR"/>
        </w:rPr>
        <w:t>posición orbital no era ocupada, el país perdería sus</w:t>
      </w:r>
      <w:r w:rsidRPr="001D55A5">
        <w:rPr>
          <w:rFonts w:hAnsi="Times New Roman"/>
          <w:lang w:val="es-AR"/>
        </w:rPr>
        <w:t xml:space="preserve"> derechos sobre la misma. El Rei</w:t>
      </w:r>
      <w:r>
        <w:rPr>
          <w:rFonts w:hAnsi="Times New Roman"/>
          <w:lang w:val="es-AR"/>
        </w:rPr>
        <w:t>no Unido reclamó formalmente esta posición</w:t>
      </w:r>
      <w:r w:rsidRPr="001D55A5">
        <w:rPr>
          <w:rFonts w:hAnsi="Times New Roman"/>
          <w:lang w:val="es-AR"/>
        </w:rPr>
        <w:t>.</w:t>
      </w:r>
      <w:r>
        <w:rPr>
          <w:rFonts w:hAnsi="Times New Roman"/>
          <w:lang w:val="es-AR"/>
        </w:rPr>
        <w:t xml:space="preserve"> Además, Nahuel-1 comenzó </w:t>
      </w:r>
      <w:r w:rsidRPr="001D55A5">
        <w:rPr>
          <w:rFonts w:hAnsi="Times New Roman"/>
          <w:lang w:val="es-AR"/>
        </w:rPr>
        <w:t>a mostrar problemas técnicos</w:t>
      </w:r>
      <w:r>
        <w:rPr>
          <w:rFonts w:hAnsi="Times New Roman"/>
          <w:lang w:val="es-AR"/>
        </w:rPr>
        <w:t xml:space="preserve"> que suponían</w:t>
      </w:r>
      <w:r w:rsidRPr="001D55A5">
        <w:rPr>
          <w:rFonts w:hAnsi="Times New Roman"/>
          <w:lang w:val="es-AR"/>
        </w:rPr>
        <w:t xml:space="preserve"> una altísima probabilidad de que </w:t>
      </w:r>
      <w:r>
        <w:rPr>
          <w:rFonts w:hAnsi="Times New Roman"/>
          <w:lang w:val="es-AR"/>
        </w:rPr>
        <w:t>la vida útil del satélite se viera</w:t>
      </w:r>
      <w:r w:rsidRPr="001D55A5">
        <w:rPr>
          <w:rFonts w:hAnsi="Times New Roman"/>
          <w:lang w:val="es-AR"/>
        </w:rPr>
        <w:t xml:space="preserve"> acortada.</w:t>
      </w:r>
    </w:p>
    <w:p w:rsidR="00E37579" w:rsidRDefault="00E37579" w:rsidP="007C267C">
      <w:pPr>
        <w:tabs>
          <w:tab w:val="left" w:pos="851"/>
        </w:tabs>
        <w:spacing w:after="120" w:line="360" w:lineRule="auto"/>
        <w:rPr>
          <w:sz w:val="24"/>
          <w:szCs w:val="24"/>
        </w:rPr>
      </w:pPr>
      <w:r>
        <w:rPr>
          <w:sz w:val="24"/>
          <w:szCs w:val="24"/>
        </w:rPr>
        <w:t xml:space="preserve">El gobierno de Fernando </w:t>
      </w:r>
      <w:r w:rsidRPr="009231A3">
        <w:rPr>
          <w:sz w:val="24"/>
          <w:szCs w:val="24"/>
        </w:rPr>
        <w:t>De la Rúa (1999-2001)</w:t>
      </w:r>
      <w:r>
        <w:rPr>
          <w:sz w:val="24"/>
          <w:szCs w:val="24"/>
        </w:rPr>
        <w:t xml:space="preserve"> acelera la decadencia de </w:t>
      </w:r>
      <w:proofErr w:type="spellStart"/>
      <w:r>
        <w:rPr>
          <w:sz w:val="24"/>
          <w:szCs w:val="24"/>
        </w:rPr>
        <w:t>NahuelSat</w:t>
      </w:r>
      <w:proofErr w:type="spellEnd"/>
      <w:r>
        <w:rPr>
          <w:sz w:val="24"/>
          <w:szCs w:val="24"/>
        </w:rPr>
        <w:t xml:space="preserve"> al</w:t>
      </w:r>
      <w:r w:rsidRPr="009231A3">
        <w:rPr>
          <w:color w:val="000000"/>
          <w:sz w:val="24"/>
          <w:szCs w:val="24"/>
        </w:rPr>
        <w:t xml:space="preserve"> </w:t>
      </w:r>
      <w:r>
        <w:rPr>
          <w:color w:val="000000"/>
          <w:sz w:val="24"/>
          <w:szCs w:val="24"/>
        </w:rPr>
        <w:t>aprobar</w:t>
      </w:r>
      <w:r w:rsidRPr="00DE0DA8">
        <w:rPr>
          <w:sz w:val="24"/>
          <w:szCs w:val="24"/>
        </w:rPr>
        <w:t xml:space="preserve"> </w:t>
      </w:r>
      <w:r>
        <w:rPr>
          <w:rFonts w:eastAsia="Times New Roman"/>
          <w:sz w:val="24"/>
          <w:szCs w:val="24"/>
        </w:rPr>
        <w:t xml:space="preserve">el “Reglamento </w:t>
      </w:r>
      <w:r w:rsidRPr="00DE0DA8">
        <w:rPr>
          <w:rFonts w:eastAsia="Times New Roman"/>
          <w:sz w:val="24"/>
          <w:szCs w:val="24"/>
        </w:rPr>
        <w:t>de Gestión y Servicios Satelitales</w:t>
      </w:r>
      <w:r>
        <w:rPr>
          <w:rFonts w:eastAsia="Times New Roman"/>
          <w:sz w:val="24"/>
          <w:szCs w:val="24"/>
        </w:rPr>
        <w:t>”,</w:t>
      </w:r>
      <w:r w:rsidRPr="000B0782">
        <w:rPr>
          <w:szCs w:val="24"/>
          <w:vertAlign w:val="superscript"/>
        </w:rPr>
        <w:footnoteReference w:id="10"/>
      </w:r>
      <w:r w:rsidRPr="00DE0DA8">
        <w:rPr>
          <w:sz w:val="24"/>
          <w:szCs w:val="24"/>
        </w:rPr>
        <w:t xml:space="preserve"> qu</w:t>
      </w:r>
      <w:r>
        <w:rPr>
          <w:color w:val="000000"/>
          <w:sz w:val="24"/>
          <w:szCs w:val="24"/>
        </w:rPr>
        <w:t>e facilitó</w:t>
      </w:r>
      <w:r w:rsidRPr="009231A3">
        <w:rPr>
          <w:color w:val="000000"/>
          <w:sz w:val="24"/>
          <w:szCs w:val="24"/>
        </w:rPr>
        <w:t xml:space="preserve"> la firma de una serie de acuerdos d</w:t>
      </w:r>
      <w:r>
        <w:rPr>
          <w:color w:val="000000"/>
          <w:sz w:val="24"/>
          <w:szCs w:val="24"/>
        </w:rPr>
        <w:t xml:space="preserve">e reciprocidad directamente </w:t>
      </w:r>
      <w:r w:rsidRPr="009231A3">
        <w:rPr>
          <w:color w:val="000000"/>
          <w:sz w:val="24"/>
          <w:szCs w:val="24"/>
        </w:rPr>
        <w:t xml:space="preserve">la </w:t>
      </w:r>
      <w:r>
        <w:rPr>
          <w:color w:val="000000"/>
          <w:sz w:val="24"/>
          <w:szCs w:val="24"/>
        </w:rPr>
        <w:t xml:space="preserve">por Secretaría de Comunicaciones. </w:t>
      </w:r>
      <w:r w:rsidRPr="009231A3">
        <w:rPr>
          <w:color w:val="000000"/>
          <w:sz w:val="24"/>
          <w:szCs w:val="24"/>
        </w:rPr>
        <w:t>En el período 2000-2001,</w:t>
      </w:r>
      <w:r>
        <w:rPr>
          <w:color w:val="000000"/>
          <w:sz w:val="24"/>
          <w:szCs w:val="24"/>
        </w:rPr>
        <w:t xml:space="preserve"> este gobierno impulsó la firma de</w:t>
      </w:r>
      <w:r w:rsidRPr="009231A3">
        <w:rPr>
          <w:color w:val="000000"/>
          <w:sz w:val="24"/>
          <w:szCs w:val="24"/>
        </w:rPr>
        <w:t xml:space="preserve"> acuerdos de reciprocidad con Canadá, M</w:t>
      </w:r>
      <w:r>
        <w:rPr>
          <w:color w:val="000000"/>
          <w:sz w:val="24"/>
          <w:szCs w:val="24"/>
        </w:rPr>
        <w:t>éxico, España, Brasil y Holanda, y</w:t>
      </w:r>
      <w:r w:rsidRPr="009231A3">
        <w:rPr>
          <w:color w:val="000000"/>
          <w:sz w:val="24"/>
          <w:szCs w:val="24"/>
        </w:rPr>
        <w:t xml:space="preserve"> autorizó la entrada al mercado local de por lo menos 18 satélites. </w:t>
      </w:r>
      <w:r w:rsidRPr="009231A3">
        <w:rPr>
          <w:sz w:val="24"/>
          <w:szCs w:val="24"/>
        </w:rPr>
        <w:t>La crisis</w:t>
      </w:r>
      <w:r>
        <w:rPr>
          <w:sz w:val="24"/>
          <w:szCs w:val="24"/>
        </w:rPr>
        <w:t xml:space="preserve"> terminal</w:t>
      </w:r>
      <w:r w:rsidRPr="009231A3">
        <w:rPr>
          <w:sz w:val="24"/>
          <w:szCs w:val="24"/>
        </w:rPr>
        <w:t xml:space="preserve"> de 2001 consolidó la tendencia al derrumbe</w:t>
      </w:r>
      <w:r>
        <w:rPr>
          <w:sz w:val="24"/>
          <w:szCs w:val="24"/>
        </w:rPr>
        <w:t xml:space="preserve"> de </w:t>
      </w:r>
      <w:proofErr w:type="spellStart"/>
      <w:r>
        <w:rPr>
          <w:sz w:val="24"/>
          <w:szCs w:val="24"/>
        </w:rPr>
        <w:t>NahuelSat</w:t>
      </w:r>
      <w:proofErr w:type="spellEnd"/>
      <w:r>
        <w:rPr>
          <w:sz w:val="24"/>
          <w:szCs w:val="24"/>
        </w:rPr>
        <w:t xml:space="preserve">. </w:t>
      </w:r>
    </w:p>
    <w:p w:rsidR="00E37579" w:rsidRPr="00B7642F" w:rsidRDefault="00E37579" w:rsidP="00F6609B">
      <w:pPr>
        <w:pStyle w:val="Predeterminado"/>
        <w:spacing w:line="360" w:lineRule="auto"/>
        <w:jc w:val="both"/>
        <w:rPr>
          <w:rFonts w:hAnsi="Times New Roman"/>
          <w:i/>
          <w:lang w:val="es-AR"/>
        </w:rPr>
      </w:pPr>
      <w:r>
        <w:rPr>
          <w:rFonts w:hAnsi="Times New Roman"/>
          <w:i/>
          <w:lang w:val="es-AR"/>
        </w:rPr>
        <w:t xml:space="preserve">Satélites </w:t>
      </w:r>
      <w:r w:rsidRPr="00B7642F">
        <w:rPr>
          <w:rFonts w:hAnsi="Times New Roman"/>
          <w:i/>
          <w:lang w:val="es-AR"/>
        </w:rPr>
        <w:t>fabricados en nuestro país</w:t>
      </w:r>
      <w:r>
        <w:rPr>
          <w:rFonts w:hAnsi="Times New Roman"/>
          <w:i/>
          <w:lang w:val="es-AR"/>
        </w:rPr>
        <w:t xml:space="preserve"> y soberanía satelital</w:t>
      </w:r>
    </w:p>
    <w:p w:rsidR="00E37579" w:rsidRPr="00040D0C" w:rsidRDefault="00E37579" w:rsidP="00400E65">
      <w:pPr>
        <w:pStyle w:val="Predeterminado"/>
        <w:spacing w:line="360" w:lineRule="auto"/>
        <w:jc w:val="both"/>
        <w:rPr>
          <w:rFonts w:hAnsi="Times New Roman"/>
          <w:i/>
          <w:szCs w:val="24"/>
          <w:lang w:val="es-AR"/>
        </w:rPr>
      </w:pPr>
      <w:r>
        <w:rPr>
          <w:szCs w:val="24"/>
          <w:lang w:val="es-AR"/>
        </w:rPr>
        <w:t xml:space="preserve">Frente a la incapacidad de </w:t>
      </w:r>
      <w:proofErr w:type="spellStart"/>
      <w:r>
        <w:rPr>
          <w:szCs w:val="24"/>
          <w:lang w:val="es-AR"/>
        </w:rPr>
        <w:t>NahuelSat</w:t>
      </w:r>
      <w:proofErr w:type="spellEnd"/>
      <w:r>
        <w:rPr>
          <w:rFonts w:hAnsi="Times New Roman"/>
          <w:szCs w:val="24"/>
          <w:lang w:val="es-MX"/>
        </w:rPr>
        <w:t>,</w:t>
      </w:r>
      <w:r w:rsidRPr="009231A3">
        <w:rPr>
          <w:rFonts w:hAnsi="Times New Roman"/>
          <w:szCs w:val="24"/>
          <w:lang w:val="es-MX"/>
        </w:rPr>
        <w:t xml:space="preserve"> </w:t>
      </w:r>
      <w:r>
        <w:rPr>
          <w:szCs w:val="24"/>
          <w:lang w:val="es-AR"/>
        </w:rPr>
        <w:t>en</w:t>
      </w:r>
      <w:r w:rsidRPr="00040D0C">
        <w:rPr>
          <w:szCs w:val="24"/>
          <w:lang w:val="es-AR"/>
        </w:rPr>
        <w:t xml:space="preserve"> 2004, el</w:t>
      </w:r>
      <w:r>
        <w:rPr>
          <w:szCs w:val="24"/>
          <w:lang w:val="es-MX"/>
        </w:rPr>
        <w:t xml:space="preserve"> gobierno de N</w:t>
      </w:r>
      <w:r>
        <w:rPr>
          <w:szCs w:val="24"/>
          <w:lang w:val="es-MX"/>
        </w:rPr>
        <w:t>é</w:t>
      </w:r>
      <w:r>
        <w:rPr>
          <w:szCs w:val="24"/>
          <w:lang w:val="es-MX"/>
        </w:rPr>
        <w:t xml:space="preserve">stor </w:t>
      </w:r>
      <w:r w:rsidRPr="009231A3">
        <w:rPr>
          <w:rFonts w:hAnsi="Times New Roman"/>
          <w:szCs w:val="24"/>
          <w:lang w:val="es-MX"/>
        </w:rPr>
        <w:t>Kirchner</w:t>
      </w:r>
      <w:r>
        <w:rPr>
          <w:rFonts w:hAnsi="Times New Roman"/>
          <w:szCs w:val="24"/>
          <w:lang w:val="es-MX"/>
        </w:rPr>
        <w:t xml:space="preserve"> (2003-2007) revocó</w:t>
      </w:r>
      <w:r w:rsidRPr="009231A3">
        <w:rPr>
          <w:rFonts w:hAnsi="Times New Roman"/>
          <w:szCs w:val="24"/>
          <w:lang w:val="es-MX"/>
        </w:rPr>
        <w:t xml:space="preserve"> la concesión </w:t>
      </w:r>
      <w:r>
        <w:rPr>
          <w:szCs w:val="24"/>
          <w:lang w:val="es-MX"/>
        </w:rPr>
        <w:t xml:space="preserve">a </w:t>
      </w:r>
      <w:proofErr w:type="spellStart"/>
      <w:r>
        <w:rPr>
          <w:szCs w:val="24"/>
          <w:lang w:val="es-MX"/>
        </w:rPr>
        <w:t>NahuelSat</w:t>
      </w:r>
      <w:proofErr w:type="spellEnd"/>
      <w:r>
        <w:rPr>
          <w:szCs w:val="24"/>
          <w:lang w:val="es-MX"/>
        </w:rPr>
        <w:t xml:space="preserve"> </w:t>
      </w:r>
      <w:r w:rsidRPr="009231A3">
        <w:rPr>
          <w:rFonts w:hAnsi="Times New Roman"/>
          <w:szCs w:val="24"/>
          <w:lang w:val="es-MX"/>
        </w:rPr>
        <w:t xml:space="preserve">de la gestión de la </w:t>
      </w:r>
      <w:r>
        <w:rPr>
          <w:szCs w:val="24"/>
          <w:lang w:val="es-MX"/>
        </w:rPr>
        <w:t xml:space="preserve">POG </w:t>
      </w:r>
      <w:r w:rsidRPr="009231A3">
        <w:rPr>
          <w:rFonts w:hAnsi="Times New Roman"/>
          <w:szCs w:val="24"/>
          <w:lang w:val="es-MX"/>
        </w:rPr>
        <w:t>de 81° O</w:t>
      </w:r>
      <w:r>
        <w:rPr>
          <w:rFonts w:hAnsi="Times New Roman"/>
          <w:szCs w:val="24"/>
          <w:lang w:val="es-MX"/>
        </w:rPr>
        <w:t xml:space="preserve"> y,</w:t>
      </w:r>
      <w:r w:rsidRPr="009231A3">
        <w:rPr>
          <w:rFonts w:hAnsi="Times New Roman"/>
          <w:szCs w:val="24"/>
          <w:lang w:val="es-MX"/>
        </w:rPr>
        <w:t xml:space="preserve"> </w:t>
      </w:r>
      <w:r>
        <w:rPr>
          <w:szCs w:val="24"/>
          <w:lang w:val="es-MX"/>
        </w:rPr>
        <w:t>a mediados del a</w:t>
      </w:r>
      <w:r>
        <w:rPr>
          <w:szCs w:val="24"/>
          <w:lang w:val="es-MX"/>
        </w:rPr>
        <w:t>ñ</w:t>
      </w:r>
      <w:r>
        <w:rPr>
          <w:szCs w:val="24"/>
          <w:lang w:val="es-MX"/>
        </w:rPr>
        <w:t>o siguiente</w:t>
      </w:r>
      <w:r w:rsidRPr="009231A3">
        <w:rPr>
          <w:rFonts w:hAnsi="Times New Roman"/>
          <w:szCs w:val="24"/>
          <w:lang w:val="es-MX"/>
        </w:rPr>
        <w:t>, anunció el plan de conformar la Empresa Argentina de Soluciones Satelitale</w:t>
      </w:r>
      <w:r>
        <w:rPr>
          <w:szCs w:val="24"/>
          <w:lang w:val="es-MX"/>
        </w:rPr>
        <w:t>s (ARSAT</w:t>
      </w:r>
      <w:r>
        <w:rPr>
          <w:rFonts w:hAnsi="Times New Roman"/>
          <w:szCs w:val="24"/>
          <w:lang w:val="es-MX"/>
        </w:rPr>
        <w:t>)</w:t>
      </w:r>
      <w:r w:rsidRPr="009231A3">
        <w:rPr>
          <w:rFonts w:hAnsi="Times New Roman"/>
          <w:szCs w:val="24"/>
          <w:lang w:val="es-MX"/>
        </w:rPr>
        <w:t>.</w:t>
      </w:r>
      <w:r>
        <w:rPr>
          <w:rFonts w:hAnsi="Times New Roman"/>
          <w:szCs w:val="24"/>
          <w:lang w:val="es-MX"/>
        </w:rPr>
        <w:t xml:space="preserve"> Finalmente, mientras el Estado compraba los activos de </w:t>
      </w:r>
      <w:proofErr w:type="spellStart"/>
      <w:r>
        <w:rPr>
          <w:rFonts w:hAnsi="Times New Roman"/>
          <w:szCs w:val="24"/>
          <w:lang w:val="es-MX"/>
        </w:rPr>
        <w:t>NahuelSat</w:t>
      </w:r>
      <w:proofErr w:type="spellEnd"/>
      <w:r>
        <w:rPr>
          <w:rFonts w:hAnsi="Times New Roman"/>
          <w:szCs w:val="24"/>
          <w:lang w:val="es-MX"/>
        </w:rPr>
        <w:t xml:space="preserve"> por un peso simbólico, </w:t>
      </w:r>
      <w:r w:rsidRPr="001D55A5">
        <w:rPr>
          <w:rFonts w:hAnsi="Times New Roman"/>
          <w:lang w:val="es-AR"/>
        </w:rPr>
        <w:t>e</w:t>
      </w:r>
      <w:r>
        <w:rPr>
          <w:rFonts w:hAnsi="Times New Roman"/>
          <w:lang w:val="es-AR"/>
        </w:rPr>
        <w:t>l Poder Ejecutivo, a cargo de Né</w:t>
      </w:r>
      <w:r w:rsidRPr="001D55A5">
        <w:rPr>
          <w:rFonts w:hAnsi="Times New Roman"/>
          <w:lang w:val="es-AR"/>
        </w:rPr>
        <w:t>st</w:t>
      </w:r>
      <w:r>
        <w:rPr>
          <w:rFonts w:hAnsi="Times New Roman"/>
          <w:lang w:val="es-AR"/>
        </w:rPr>
        <w:t xml:space="preserve">or Kirchner, elevó al </w:t>
      </w:r>
      <w:r w:rsidRPr="001D55A5">
        <w:rPr>
          <w:rFonts w:hAnsi="Times New Roman"/>
          <w:lang w:val="es-AR"/>
        </w:rPr>
        <w:t>Congreso</w:t>
      </w:r>
      <w:r>
        <w:rPr>
          <w:rFonts w:hAnsi="Times New Roman"/>
          <w:lang w:val="es-AR"/>
        </w:rPr>
        <w:t xml:space="preserve"> de la Nación una propuesta de ley para crear una sociedad anónima con participación estatal –que terminó siendo 100% pública– con la</w:t>
      </w:r>
      <w:r w:rsidRPr="001D55A5">
        <w:rPr>
          <w:rFonts w:hAnsi="Times New Roman"/>
          <w:lang w:val="es-AR"/>
        </w:rPr>
        <w:t xml:space="preserve"> misión </w:t>
      </w:r>
      <w:r>
        <w:rPr>
          <w:rFonts w:hAnsi="Times New Roman"/>
          <w:lang w:val="es-AR"/>
        </w:rPr>
        <w:t xml:space="preserve">definida por tres aspectos: (1) la protección de las posiciones orbitales que la Unión Internacional de Telecomunicaciones (UIT) –organismo dependiente de las Naciones Unidas– asignara a nuestro país; (b) la inauguración de un sendero de producción propia de satélites, </w:t>
      </w:r>
      <w:r w:rsidRPr="0041495D">
        <w:rPr>
          <w:rFonts w:hAnsi="Times New Roman"/>
          <w:lang w:val="es-AR"/>
        </w:rPr>
        <w:t>que supone una política (o un componente de política) de Estado de ciencia y tecnología orientada a un objetivo</w:t>
      </w:r>
      <w:r>
        <w:rPr>
          <w:rFonts w:hAnsi="Times New Roman"/>
          <w:lang w:val="es-AR"/>
        </w:rPr>
        <w:t xml:space="preserve">; y (c) la definición de la necesidad de </w:t>
      </w:r>
      <w:r w:rsidRPr="001D55A5">
        <w:rPr>
          <w:rFonts w:hAnsi="Times New Roman"/>
          <w:lang w:val="es-AR"/>
        </w:rPr>
        <w:t>desarrollar los servicios satelitales en la Argentina.</w:t>
      </w:r>
      <w:r>
        <w:rPr>
          <w:rStyle w:val="Refdenotaalpie"/>
          <w:rFonts w:hAnsi="Times New Roman"/>
          <w:lang w:val="es-AR"/>
        </w:rPr>
        <w:footnoteReference w:id="11"/>
      </w:r>
    </w:p>
    <w:p w:rsidR="00E37579" w:rsidRDefault="00E37579" w:rsidP="00400E65">
      <w:pPr>
        <w:pStyle w:val="Predeterminado"/>
        <w:spacing w:line="360" w:lineRule="auto"/>
        <w:jc w:val="both"/>
        <w:rPr>
          <w:rFonts w:hAnsi="Times New Roman"/>
          <w:szCs w:val="24"/>
          <w:lang w:val="es-MX"/>
        </w:rPr>
      </w:pPr>
      <w:r>
        <w:rPr>
          <w:rFonts w:hAnsi="Times New Roman"/>
          <w:szCs w:val="24"/>
          <w:lang w:val="es-MX"/>
        </w:rPr>
        <w:t>Ahora bien, con referencia al punto (b), e</w:t>
      </w:r>
      <w:r>
        <w:rPr>
          <w:rFonts w:hAnsi="Times New Roman"/>
          <w:lang w:val="es-AR"/>
        </w:rPr>
        <w:t xml:space="preserve">l artículo 4 del Estatuto de ARSAT, donde se define “el diseño, el desarrollo y la construcción en el país” de los satélites que deban ocupar las </w:t>
      </w:r>
      <w:r w:rsidRPr="001D55A5">
        <w:rPr>
          <w:rFonts w:hAnsi="Times New Roman"/>
          <w:lang w:val="es-AR"/>
        </w:rPr>
        <w:t xml:space="preserve">posiciones </w:t>
      </w:r>
      <w:r w:rsidRPr="001D55A5">
        <w:rPr>
          <w:rFonts w:hAnsi="Times New Roman"/>
          <w:lang w:val="es-AR"/>
        </w:rPr>
        <w:lastRenderedPageBreak/>
        <w:t>orbitales</w:t>
      </w:r>
      <w:r>
        <w:rPr>
          <w:rFonts w:hAnsi="Times New Roman"/>
          <w:lang w:val="es-AR"/>
        </w:rPr>
        <w:t xml:space="preserve"> argentinas, es donde se asume la toma de riesgo por parte del Estado</w:t>
      </w:r>
      <w:r w:rsidRPr="001D55A5">
        <w:rPr>
          <w:rFonts w:hAnsi="Times New Roman"/>
          <w:lang w:val="es-AR"/>
        </w:rPr>
        <w:t xml:space="preserve">, aunque </w:t>
      </w:r>
      <w:r>
        <w:rPr>
          <w:rFonts w:hAnsi="Times New Roman"/>
          <w:lang w:val="es-AR"/>
        </w:rPr>
        <w:t>tiene un sentido político que está</w:t>
      </w:r>
      <w:r w:rsidRPr="001D55A5">
        <w:rPr>
          <w:rFonts w:hAnsi="Times New Roman"/>
          <w:lang w:val="es-AR"/>
        </w:rPr>
        <w:t xml:space="preserve"> comple</w:t>
      </w:r>
      <w:r>
        <w:rPr>
          <w:rFonts w:hAnsi="Times New Roman"/>
          <w:lang w:val="es-AR"/>
        </w:rPr>
        <w:t>tamente alineado con la decisión soberana</w:t>
      </w:r>
      <w:r w:rsidRPr="001D55A5">
        <w:rPr>
          <w:rFonts w:hAnsi="Times New Roman"/>
          <w:lang w:val="es-AR"/>
        </w:rPr>
        <w:t xml:space="preserve"> de </w:t>
      </w:r>
      <w:r>
        <w:rPr>
          <w:rFonts w:hAnsi="Times New Roman"/>
          <w:lang w:val="es-AR"/>
        </w:rPr>
        <w:t xml:space="preserve">asumir que </w:t>
      </w:r>
      <w:r w:rsidRPr="001D55A5">
        <w:rPr>
          <w:rFonts w:hAnsi="Times New Roman"/>
          <w:lang w:val="es-AR"/>
        </w:rPr>
        <w:t>la protec</w:t>
      </w:r>
      <w:r>
        <w:rPr>
          <w:rFonts w:hAnsi="Times New Roman"/>
          <w:lang w:val="es-AR"/>
        </w:rPr>
        <w:t>ción de los activos del Estado –</w:t>
      </w:r>
      <w:r w:rsidRPr="001D55A5">
        <w:rPr>
          <w:rFonts w:hAnsi="Times New Roman"/>
          <w:lang w:val="es-AR"/>
        </w:rPr>
        <w:t>las posici</w:t>
      </w:r>
      <w:r>
        <w:rPr>
          <w:rFonts w:hAnsi="Times New Roman"/>
          <w:lang w:val="es-AR"/>
        </w:rPr>
        <w:t>ones orbitales geoestacionarias–</w:t>
      </w:r>
      <w:r w:rsidRPr="001D55A5">
        <w:rPr>
          <w:rFonts w:hAnsi="Times New Roman"/>
          <w:lang w:val="es-AR"/>
        </w:rPr>
        <w:t xml:space="preserve"> deben ser </w:t>
      </w:r>
      <w:r>
        <w:rPr>
          <w:rFonts w:hAnsi="Times New Roman"/>
          <w:lang w:val="es-AR"/>
        </w:rPr>
        <w:t>supervisadas</w:t>
      </w:r>
      <w:r w:rsidRPr="001D55A5">
        <w:rPr>
          <w:rFonts w:hAnsi="Times New Roman"/>
          <w:lang w:val="es-AR"/>
        </w:rPr>
        <w:t xml:space="preserve"> por el mismo y puestas a disposición de las necesidades y derechos de lo</w:t>
      </w:r>
      <w:r>
        <w:rPr>
          <w:rFonts w:hAnsi="Times New Roman"/>
          <w:lang w:val="es-AR"/>
        </w:rPr>
        <w:t>s</w:t>
      </w:r>
      <w:r w:rsidRPr="001D55A5">
        <w:rPr>
          <w:rFonts w:hAnsi="Times New Roman"/>
          <w:lang w:val="es-AR"/>
        </w:rPr>
        <w:t xml:space="preserve"> que </w:t>
      </w:r>
      <w:r>
        <w:rPr>
          <w:rFonts w:hAnsi="Times New Roman"/>
          <w:lang w:val="es-AR"/>
        </w:rPr>
        <w:t xml:space="preserve">menos </w:t>
      </w:r>
      <w:r w:rsidRPr="001D55A5">
        <w:rPr>
          <w:rFonts w:hAnsi="Times New Roman"/>
          <w:lang w:val="es-AR"/>
        </w:rPr>
        <w:t>tienen.</w:t>
      </w:r>
    </w:p>
    <w:p w:rsidR="00E37579" w:rsidRPr="00635862" w:rsidRDefault="00E37579" w:rsidP="00C80E49">
      <w:pPr>
        <w:pStyle w:val="Predeterminado"/>
        <w:spacing w:line="360" w:lineRule="auto"/>
        <w:jc w:val="both"/>
        <w:rPr>
          <w:rFonts w:hAnsi="Times New Roman"/>
          <w:lang w:val="es-AR"/>
        </w:rPr>
      </w:pPr>
      <w:r>
        <w:rPr>
          <w:rFonts w:hAnsi="Times New Roman"/>
          <w:szCs w:val="24"/>
          <w:lang w:val="es-MX"/>
        </w:rPr>
        <w:t>Este fue uno de los aspectos</w:t>
      </w:r>
      <w:r w:rsidRPr="009231A3">
        <w:rPr>
          <w:rFonts w:hAnsi="Times New Roman"/>
          <w:szCs w:val="24"/>
          <w:lang w:val="es-MX"/>
        </w:rPr>
        <w:t xml:space="preserve"> </w:t>
      </w:r>
      <w:r>
        <w:rPr>
          <w:rFonts w:hAnsi="Times New Roman"/>
          <w:szCs w:val="24"/>
          <w:lang w:val="es-MX"/>
        </w:rPr>
        <w:t>más novedosos de este proceso –cuestionado desde sectores de la oposición política–,</w:t>
      </w:r>
      <w:r>
        <w:rPr>
          <w:rStyle w:val="Refdenotaalpie"/>
          <w:rFonts w:hAnsi="Times New Roman"/>
          <w:lang w:val="es-AR"/>
        </w:rPr>
        <w:footnoteReference w:id="12"/>
      </w:r>
      <w:r>
        <w:rPr>
          <w:rFonts w:hAnsi="Times New Roman"/>
          <w:szCs w:val="24"/>
          <w:lang w:val="es-AR"/>
        </w:rPr>
        <w:t xml:space="preserve"> que supuso que</w:t>
      </w:r>
      <w:r w:rsidRPr="009231A3">
        <w:rPr>
          <w:rFonts w:hAnsi="Times New Roman"/>
          <w:szCs w:val="24"/>
          <w:lang w:val="es-MX"/>
        </w:rPr>
        <w:t xml:space="preserve"> la empresa</w:t>
      </w:r>
      <w:r>
        <w:rPr>
          <w:rFonts w:hAnsi="Times New Roman"/>
          <w:szCs w:val="24"/>
          <w:lang w:val="es-MX"/>
        </w:rPr>
        <w:t xml:space="preserve"> INVAP quedaba a cargo</w:t>
      </w:r>
      <w:r w:rsidRPr="009231A3">
        <w:rPr>
          <w:rFonts w:hAnsi="Times New Roman"/>
          <w:szCs w:val="24"/>
          <w:lang w:val="es-MX"/>
        </w:rPr>
        <w:t xml:space="preserve"> del diseño y fabricación</w:t>
      </w:r>
      <w:r>
        <w:rPr>
          <w:rFonts w:hAnsi="Times New Roman"/>
          <w:szCs w:val="24"/>
          <w:lang w:val="es-MX"/>
        </w:rPr>
        <w:t xml:space="preserve"> de los satélites geoestacionarios para las posiciones orbitales argentinas</w:t>
      </w:r>
      <w:r w:rsidRPr="009231A3">
        <w:rPr>
          <w:rFonts w:hAnsi="Times New Roman"/>
          <w:szCs w:val="24"/>
          <w:lang w:val="es-MX"/>
        </w:rPr>
        <w:t>.</w:t>
      </w:r>
      <w:r>
        <w:rPr>
          <w:rFonts w:hAnsi="Times New Roman"/>
          <w:szCs w:val="24"/>
          <w:lang w:val="es-MX"/>
        </w:rPr>
        <w:t xml:space="preserve"> Desde comienzos de la primera mitad de los años noventa, luego de la creación de la Comisión Nacional de Actividades Espaciales (CONAE) en 1991, INVAP se había diversificado hacia el desarrollo de satélites de observación (Nash, 1994),</w:t>
      </w:r>
      <w:r>
        <w:rPr>
          <w:rFonts w:hAnsi="Times New Roman"/>
          <w:szCs w:val="24"/>
          <w:lang w:val="es-AR"/>
        </w:rPr>
        <w:t xml:space="preserve"> y al momento de la creación de ARSAT ya se habían puesto en órbita los tres primeros satélites de la serie SAC, todos diseñados y construidos por INVAP.</w:t>
      </w:r>
      <w:r>
        <w:rPr>
          <w:rStyle w:val="Refdenotaalpie"/>
          <w:rFonts w:hAnsi="Times New Roman"/>
          <w:lang w:val="es-AR"/>
        </w:rPr>
        <w:footnoteReference w:id="13"/>
      </w:r>
      <w:r>
        <w:rPr>
          <w:rFonts w:hAnsi="Times New Roman"/>
          <w:szCs w:val="24"/>
          <w:lang w:val="es-MX"/>
        </w:rPr>
        <w:t xml:space="preserve"> </w:t>
      </w:r>
      <w:r>
        <w:rPr>
          <w:rFonts w:hAnsi="Times New Roman"/>
          <w:lang w:val="es-AR"/>
        </w:rPr>
        <w:t xml:space="preserve">Sin embargo, </w:t>
      </w:r>
      <w:r w:rsidRPr="001D55A5">
        <w:rPr>
          <w:rFonts w:hAnsi="Times New Roman"/>
          <w:lang w:val="es-AR"/>
        </w:rPr>
        <w:t>a pesar de ciertas similitudes</w:t>
      </w:r>
      <w:r>
        <w:rPr>
          <w:rFonts w:hAnsi="Times New Roman"/>
          <w:lang w:val="es-AR"/>
        </w:rPr>
        <w:t xml:space="preserve"> entre los satélites de observación y los geoestacionarios</w:t>
      </w:r>
      <w:r w:rsidRPr="001D55A5">
        <w:rPr>
          <w:rFonts w:hAnsi="Times New Roman"/>
          <w:lang w:val="es-AR"/>
        </w:rPr>
        <w:t xml:space="preserve">, </w:t>
      </w:r>
      <w:r>
        <w:rPr>
          <w:rFonts w:hAnsi="Times New Roman"/>
          <w:lang w:val="es-AR"/>
        </w:rPr>
        <w:t>estos últimos presentan</w:t>
      </w:r>
      <w:r w:rsidRPr="001D55A5">
        <w:rPr>
          <w:rFonts w:hAnsi="Times New Roman"/>
          <w:lang w:val="es-AR"/>
        </w:rPr>
        <w:t xml:space="preserve"> complejidades y desafíos técnicos radicalmente distintos. El ambiente en el que tiene que desempeñarse, la vida útil de diseño, la disponibilidad del servicio y muchas otras condiciones que requirieron de </w:t>
      </w:r>
      <w:r>
        <w:rPr>
          <w:rFonts w:hAnsi="Times New Roman"/>
          <w:lang w:val="es-AR"/>
        </w:rPr>
        <w:t>desarrollos de nuevas capacidades y</w:t>
      </w:r>
      <w:r w:rsidRPr="001D55A5">
        <w:rPr>
          <w:rFonts w:hAnsi="Times New Roman"/>
          <w:lang w:val="es-AR"/>
        </w:rPr>
        <w:t xml:space="preserve"> de</w:t>
      </w:r>
      <w:r>
        <w:rPr>
          <w:rFonts w:hAnsi="Times New Roman"/>
          <w:lang w:val="es-AR"/>
        </w:rPr>
        <w:t>l conocimiento de</w:t>
      </w:r>
      <w:r w:rsidRPr="001D55A5">
        <w:rPr>
          <w:rFonts w:hAnsi="Times New Roman"/>
          <w:lang w:val="es-AR"/>
        </w:rPr>
        <w:t xml:space="preserve"> nuevos proveedores y tecnologías.</w:t>
      </w:r>
      <w:r>
        <w:rPr>
          <w:rFonts w:hAnsi="Times New Roman"/>
          <w:lang w:val="es-AR"/>
        </w:rPr>
        <w:t xml:space="preserve"> Además, l</w:t>
      </w:r>
      <w:r w:rsidRPr="001D55A5">
        <w:rPr>
          <w:rFonts w:hAnsi="Times New Roman"/>
          <w:lang w:val="es-AR"/>
        </w:rPr>
        <w:t xml:space="preserve">a incorporación de metodologías de trabajo, de seguimiento de proyectos y </w:t>
      </w:r>
      <w:r>
        <w:rPr>
          <w:rFonts w:hAnsi="Times New Roman"/>
          <w:lang w:val="es-AR"/>
        </w:rPr>
        <w:t xml:space="preserve">aseguramiento de </w:t>
      </w:r>
      <w:r w:rsidRPr="001D55A5">
        <w:rPr>
          <w:rFonts w:hAnsi="Times New Roman"/>
          <w:lang w:val="es-AR"/>
        </w:rPr>
        <w:t>calidad</w:t>
      </w:r>
      <w:r>
        <w:rPr>
          <w:rFonts w:hAnsi="Times New Roman"/>
          <w:lang w:val="es-AR"/>
        </w:rPr>
        <w:t>,</w:t>
      </w:r>
      <w:r w:rsidRPr="001D55A5">
        <w:rPr>
          <w:rFonts w:hAnsi="Times New Roman"/>
          <w:lang w:val="es-AR"/>
        </w:rPr>
        <w:t xml:space="preserve"> de cultura europea</w:t>
      </w:r>
      <w:r>
        <w:rPr>
          <w:rFonts w:hAnsi="Times New Roman"/>
          <w:lang w:val="es-AR"/>
        </w:rPr>
        <w:t>,</w:t>
      </w:r>
      <w:r w:rsidRPr="001D55A5">
        <w:rPr>
          <w:rFonts w:hAnsi="Times New Roman"/>
          <w:lang w:val="es-AR"/>
        </w:rPr>
        <w:t xml:space="preserve"> aportada por los </w:t>
      </w:r>
      <w:r>
        <w:rPr>
          <w:rFonts w:hAnsi="Times New Roman"/>
          <w:lang w:val="es-AR"/>
        </w:rPr>
        <w:t xml:space="preserve">equipos técnicos de ARSAT a los </w:t>
      </w:r>
      <w:r w:rsidRPr="001D55A5">
        <w:rPr>
          <w:rFonts w:hAnsi="Times New Roman"/>
          <w:lang w:val="es-AR"/>
        </w:rPr>
        <w:t xml:space="preserve">procesos que INVAP había desarrollado con CONAE </w:t>
      </w:r>
      <w:r>
        <w:rPr>
          <w:rFonts w:hAnsi="Times New Roman"/>
          <w:lang w:val="es-AR"/>
        </w:rPr>
        <w:t>–</w:t>
      </w:r>
      <w:r w:rsidRPr="001D55A5">
        <w:rPr>
          <w:rFonts w:hAnsi="Times New Roman"/>
          <w:lang w:val="es-AR"/>
        </w:rPr>
        <w:t>más cercanos a</w:t>
      </w:r>
      <w:r>
        <w:rPr>
          <w:rFonts w:hAnsi="Times New Roman"/>
          <w:lang w:val="es-AR"/>
        </w:rPr>
        <w:t xml:space="preserve"> la “cultura” tecnológica de EEUU–</w:t>
      </w:r>
      <w:r w:rsidRPr="001D55A5">
        <w:rPr>
          <w:rFonts w:hAnsi="Times New Roman"/>
          <w:lang w:val="es-AR"/>
        </w:rPr>
        <w:t xml:space="preserve"> </w:t>
      </w:r>
      <w:r>
        <w:rPr>
          <w:rFonts w:hAnsi="Times New Roman"/>
          <w:lang w:val="es-AR"/>
        </w:rPr>
        <w:t>fueron</w:t>
      </w:r>
      <w:r w:rsidRPr="001D55A5">
        <w:rPr>
          <w:rFonts w:hAnsi="Times New Roman"/>
          <w:lang w:val="es-AR"/>
        </w:rPr>
        <w:t xml:space="preserve"> otro de los hitos que </w:t>
      </w:r>
      <w:r>
        <w:rPr>
          <w:rFonts w:hAnsi="Times New Roman"/>
          <w:lang w:val="es-AR"/>
        </w:rPr>
        <w:t>permiten evaluar la trayectoria de ARSAT como exitosa</w:t>
      </w:r>
      <w:r w:rsidRPr="001D55A5">
        <w:rPr>
          <w:rFonts w:hAnsi="Times New Roman"/>
          <w:lang w:val="es-AR"/>
        </w:rPr>
        <w:t>.</w:t>
      </w:r>
    </w:p>
    <w:p w:rsidR="00E37579" w:rsidRDefault="00E37579" w:rsidP="00F6609B">
      <w:pPr>
        <w:pStyle w:val="Predeterminado"/>
        <w:spacing w:line="360" w:lineRule="auto"/>
        <w:jc w:val="both"/>
        <w:rPr>
          <w:rFonts w:hAnsi="Times New Roman"/>
          <w:i/>
          <w:szCs w:val="24"/>
          <w:lang w:val="es-AR"/>
        </w:rPr>
      </w:pPr>
      <w:r>
        <w:rPr>
          <w:rFonts w:hAnsi="Times New Roman"/>
          <w:i/>
          <w:szCs w:val="24"/>
          <w:lang w:val="es-AR"/>
        </w:rPr>
        <w:t>La expansión de ARSAT</w:t>
      </w:r>
    </w:p>
    <w:p w:rsidR="00E37579" w:rsidRPr="001D55A5" w:rsidRDefault="00E37579" w:rsidP="00F6609B">
      <w:pPr>
        <w:pStyle w:val="Predeterminado"/>
        <w:spacing w:line="360" w:lineRule="auto"/>
        <w:jc w:val="both"/>
        <w:rPr>
          <w:rFonts w:hAnsi="Times New Roman"/>
          <w:lang w:val="es-AR"/>
        </w:rPr>
      </w:pPr>
      <w:r w:rsidRPr="009231A3">
        <w:rPr>
          <w:rFonts w:hAnsi="Times New Roman"/>
          <w:szCs w:val="24"/>
          <w:shd w:val="clear" w:color="auto" w:fill="FFFFFF"/>
          <w:lang w:val="es-AR"/>
        </w:rPr>
        <w:t xml:space="preserve">En un contexto de </w:t>
      </w:r>
      <w:r w:rsidRPr="009231A3">
        <w:rPr>
          <w:rFonts w:hAnsi="Times New Roman"/>
          <w:szCs w:val="24"/>
          <w:lang w:val="es-MX"/>
        </w:rPr>
        <w:t>recuperación del rol del Estado,</w:t>
      </w:r>
      <w:r>
        <w:rPr>
          <w:rFonts w:hAnsi="Times New Roman"/>
          <w:szCs w:val="24"/>
          <w:lang w:val="es-MX"/>
        </w:rPr>
        <w:t xml:space="preserve"> simultáneamente a la creación de otras empresas estatales como </w:t>
      </w:r>
      <w:proofErr w:type="spellStart"/>
      <w:r>
        <w:rPr>
          <w:rFonts w:hAnsi="Times New Roman"/>
          <w:szCs w:val="24"/>
          <w:lang w:val="es-MX"/>
        </w:rPr>
        <w:t>AySA</w:t>
      </w:r>
      <w:proofErr w:type="spellEnd"/>
      <w:r>
        <w:rPr>
          <w:rFonts w:hAnsi="Times New Roman"/>
          <w:szCs w:val="24"/>
          <w:lang w:val="es-MX"/>
        </w:rPr>
        <w:t xml:space="preserve"> y</w:t>
      </w:r>
      <w:r w:rsidRPr="009231A3">
        <w:rPr>
          <w:rFonts w:hAnsi="Times New Roman"/>
          <w:szCs w:val="24"/>
          <w:lang w:val="es-MX"/>
        </w:rPr>
        <w:t xml:space="preserve"> </w:t>
      </w:r>
      <w:proofErr w:type="spellStart"/>
      <w:r w:rsidRPr="009231A3">
        <w:rPr>
          <w:rFonts w:hAnsi="Times New Roman"/>
          <w:szCs w:val="24"/>
          <w:lang w:val="es-MX"/>
        </w:rPr>
        <w:t>Ena</w:t>
      </w:r>
      <w:r>
        <w:rPr>
          <w:rFonts w:hAnsi="Times New Roman"/>
          <w:szCs w:val="24"/>
          <w:lang w:val="es-MX"/>
        </w:rPr>
        <w:t>rsa</w:t>
      </w:r>
      <w:proofErr w:type="spellEnd"/>
      <w:r>
        <w:rPr>
          <w:rFonts w:hAnsi="Times New Roman"/>
          <w:szCs w:val="24"/>
          <w:lang w:val="es-MX"/>
        </w:rPr>
        <w:t xml:space="preserve"> y de la</w:t>
      </w:r>
      <w:r w:rsidRPr="009231A3">
        <w:rPr>
          <w:rFonts w:hAnsi="Times New Roman"/>
          <w:szCs w:val="24"/>
          <w:lang w:val="es-MX"/>
        </w:rPr>
        <w:t xml:space="preserve"> revocación de la conce</w:t>
      </w:r>
      <w:r>
        <w:rPr>
          <w:rFonts w:hAnsi="Times New Roman"/>
          <w:szCs w:val="24"/>
          <w:lang w:val="es-MX"/>
        </w:rPr>
        <w:t>sión del espacio radioeléctrico</w:t>
      </w:r>
      <w:r w:rsidRPr="009231A3">
        <w:rPr>
          <w:rFonts w:hAnsi="Times New Roman"/>
          <w:szCs w:val="24"/>
          <w:lang w:val="es-MX"/>
        </w:rPr>
        <w:t xml:space="preserve"> a la em</w:t>
      </w:r>
      <w:r>
        <w:rPr>
          <w:rFonts w:hAnsi="Times New Roman"/>
          <w:szCs w:val="24"/>
          <w:lang w:val="es-MX"/>
        </w:rPr>
        <w:t xml:space="preserve">presa francesa </w:t>
      </w:r>
      <w:proofErr w:type="spellStart"/>
      <w:r>
        <w:rPr>
          <w:rFonts w:hAnsi="Times New Roman"/>
          <w:szCs w:val="24"/>
          <w:lang w:val="es-MX"/>
        </w:rPr>
        <w:t>Thales</w:t>
      </w:r>
      <w:proofErr w:type="spellEnd"/>
      <w:r>
        <w:rPr>
          <w:rFonts w:hAnsi="Times New Roman"/>
          <w:szCs w:val="24"/>
          <w:lang w:val="es-MX"/>
        </w:rPr>
        <w:t xml:space="preserve"> </w:t>
      </w:r>
      <w:proofErr w:type="spellStart"/>
      <w:r>
        <w:rPr>
          <w:rFonts w:hAnsi="Times New Roman"/>
          <w:szCs w:val="24"/>
          <w:lang w:val="es-MX"/>
        </w:rPr>
        <w:t>Spectrum</w:t>
      </w:r>
      <w:proofErr w:type="spellEnd"/>
      <w:r>
        <w:rPr>
          <w:rFonts w:hAnsi="Times New Roman"/>
          <w:szCs w:val="24"/>
          <w:lang w:val="es-MX"/>
        </w:rPr>
        <w:t>,</w:t>
      </w:r>
      <w:r w:rsidRPr="009231A3">
        <w:rPr>
          <w:rFonts w:hAnsi="Times New Roman"/>
          <w:szCs w:val="24"/>
          <w:lang w:val="es-MX"/>
        </w:rPr>
        <w:t xml:space="preserve"> la creación de </w:t>
      </w:r>
      <w:r>
        <w:rPr>
          <w:rFonts w:hAnsi="Times New Roman"/>
          <w:szCs w:val="24"/>
          <w:lang w:val="es-MX"/>
        </w:rPr>
        <w:t>ARSAT</w:t>
      </w:r>
      <w:r w:rsidRPr="009231A3">
        <w:rPr>
          <w:rFonts w:hAnsi="Times New Roman"/>
          <w:szCs w:val="24"/>
          <w:lang w:val="es-MX"/>
        </w:rPr>
        <w:t xml:space="preserve"> –98% del Ministerio de Planificación y 2% Ministerio de Economía–</w:t>
      </w:r>
      <w:r>
        <w:rPr>
          <w:rFonts w:hAnsi="Times New Roman"/>
          <w:szCs w:val="24"/>
          <w:lang w:val="es-MX"/>
        </w:rPr>
        <w:t xml:space="preserve"> ponía en marcha</w:t>
      </w:r>
      <w:r w:rsidRPr="009231A3">
        <w:rPr>
          <w:rFonts w:hAnsi="Times New Roman"/>
          <w:szCs w:val="24"/>
          <w:lang w:val="es-MX"/>
        </w:rPr>
        <w:t xml:space="preserve"> </w:t>
      </w:r>
      <w:r w:rsidRPr="009231A3">
        <w:rPr>
          <w:rFonts w:hAnsi="Times New Roman"/>
          <w:color w:val="000000"/>
          <w:szCs w:val="24"/>
          <w:lang w:val="es-AR"/>
        </w:rPr>
        <w:t>un proceso de 10 años de acumulación de capacidades nacionales y de escalamiento tecnológico que, en retrospectiva, puede concebirse como el impulso de un nuevo sector de la economía argentina de alto valor agregado.</w:t>
      </w:r>
      <w:r>
        <w:rPr>
          <w:rFonts w:hAnsi="Times New Roman"/>
          <w:color w:val="000000"/>
          <w:szCs w:val="24"/>
          <w:lang w:val="es-AR"/>
        </w:rPr>
        <w:t xml:space="preserve"> </w:t>
      </w:r>
      <w:r>
        <w:rPr>
          <w:rFonts w:hAnsi="Times New Roman"/>
          <w:lang w:val="es-AR"/>
        </w:rPr>
        <w:t xml:space="preserve">Además del traspaso de los activos de </w:t>
      </w:r>
      <w:proofErr w:type="spellStart"/>
      <w:r>
        <w:rPr>
          <w:rFonts w:hAnsi="Times New Roman"/>
          <w:lang w:val="es-AR"/>
        </w:rPr>
        <w:t>NahuelSat</w:t>
      </w:r>
      <w:proofErr w:type="spellEnd"/>
      <w:r>
        <w:rPr>
          <w:rFonts w:hAnsi="Times New Roman"/>
          <w:lang w:val="es-AR"/>
        </w:rPr>
        <w:t xml:space="preserve"> a ARSAT también se promovió que n</w:t>
      </w:r>
      <w:r w:rsidRPr="001D55A5">
        <w:rPr>
          <w:rFonts w:hAnsi="Times New Roman"/>
          <w:lang w:val="es-AR"/>
        </w:rPr>
        <w:t xml:space="preserve">inguno de los empleados de la </w:t>
      </w:r>
      <w:r>
        <w:rPr>
          <w:rFonts w:hAnsi="Times New Roman"/>
          <w:lang w:val="es-AR"/>
        </w:rPr>
        <w:t>empresa privada abandonara</w:t>
      </w:r>
      <w:r w:rsidRPr="001D55A5">
        <w:rPr>
          <w:rFonts w:hAnsi="Times New Roman"/>
          <w:lang w:val="es-AR"/>
        </w:rPr>
        <w:t xml:space="preserve"> sus tareas. Las personas que venían trabajando desde hacía 10 años </w:t>
      </w:r>
      <w:proofErr w:type="spellStart"/>
      <w:r>
        <w:rPr>
          <w:rFonts w:hAnsi="Times New Roman"/>
          <w:lang w:val="es-AR"/>
        </w:rPr>
        <w:t>NahuelSat</w:t>
      </w:r>
      <w:proofErr w:type="spellEnd"/>
      <w:r w:rsidRPr="001D55A5">
        <w:rPr>
          <w:rFonts w:hAnsi="Times New Roman"/>
          <w:lang w:val="es-AR"/>
        </w:rPr>
        <w:t xml:space="preserve"> serían clave para los desafíos futuros.</w:t>
      </w:r>
      <w:r>
        <w:rPr>
          <w:rFonts w:hAnsi="Times New Roman"/>
          <w:lang w:val="es-AR"/>
        </w:rPr>
        <w:t xml:space="preserve"> Los</w:t>
      </w:r>
      <w:r w:rsidRPr="001D55A5">
        <w:rPr>
          <w:rFonts w:hAnsi="Times New Roman"/>
          <w:lang w:val="es-AR"/>
        </w:rPr>
        <w:t xml:space="preserve"> conocimientos que habían desarrollado los equ</w:t>
      </w:r>
      <w:r>
        <w:rPr>
          <w:rFonts w:hAnsi="Times New Roman"/>
          <w:lang w:val="es-AR"/>
        </w:rPr>
        <w:t>ipos de ingeniería de esta empresa,</w:t>
      </w:r>
      <w:r w:rsidRPr="001D55A5">
        <w:rPr>
          <w:rFonts w:hAnsi="Times New Roman"/>
          <w:lang w:val="es-AR"/>
        </w:rPr>
        <w:t xml:space="preserve"> que</w:t>
      </w:r>
      <w:r>
        <w:rPr>
          <w:rFonts w:hAnsi="Times New Roman"/>
          <w:lang w:val="es-AR"/>
        </w:rPr>
        <w:t xml:space="preserve"> ahora pasaban a</w:t>
      </w:r>
      <w:r w:rsidRPr="001D55A5">
        <w:rPr>
          <w:rFonts w:hAnsi="Times New Roman"/>
          <w:lang w:val="es-AR"/>
        </w:rPr>
        <w:t xml:space="preserve"> ARSAT, permitieron esbozar los primeros trazos </w:t>
      </w:r>
      <w:r>
        <w:rPr>
          <w:rFonts w:hAnsi="Times New Roman"/>
          <w:lang w:val="es-AR"/>
        </w:rPr>
        <w:t>d</w:t>
      </w:r>
      <w:r w:rsidRPr="001D55A5">
        <w:rPr>
          <w:rFonts w:hAnsi="Times New Roman"/>
          <w:lang w:val="es-AR"/>
        </w:rPr>
        <w:t>e</w:t>
      </w:r>
      <w:r>
        <w:rPr>
          <w:rFonts w:hAnsi="Times New Roman"/>
          <w:lang w:val="es-AR"/>
        </w:rPr>
        <w:t xml:space="preserve"> </w:t>
      </w:r>
      <w:r>
        <w:rPr>
          <w:rFonts w:hAnsi="Times New Roman"/>
          <w:lang w:val="es-AR"/>
        </w:rPr>
        <w:lastRenderedPageBreak/>
        <w:t>su trayectoria</w:t>
      </w:r>
      <w:r w:rsidRPr="001D55A5">
        <w:rPr>
          <w:rFonts w:hAnsi="Times New Roman"/>
          <w:lang w:val="es-AR"/>
        </w:rPr>
        <w:t xml:space="preserve">. </w:t>
      </w:r>
      <w:r>
        <w:rPr>
          <w:rFonts w:hAnsi="Times New Roman"/>
          <w:lang w:val="es-AR"/>
        </w:rPr>
        <w:t xml:space="preserve">El conocimiento de </w:t>
      </w:r>
      <w:r w:rsidRPr="001D55A5">
        <w:rPr>
          <w:rFonts w:hAnsi="Times New Roman"/>
          <w:lang w:val="es-AR"/>
        </w:rPr>
        <w:t xml:space="preserve">prácticamente todas las plataformas satelitales ofrecidas en el mercado </w:t>
      </w:r>
      <w:r>
        <w:rPr>
          <w:rFonts w:hAnsi="Times New Roman"/>
          <w:lang w:val="es-AR"/>
        </w:rPr>
        <w:t>hizo posible especificar los</w:t>
      </w:r>
      <w:r w:rsidRPr="001D55A5">
        <w:rPr>
          <w:rFonts w:hAnsi="Times New Roman"/>
          <w:lang w:val="es-AR"/>
        </w:rPr>
        <w:t xml:space="preserve"> procesos de cotización.</w:t>
      </w:r>
    </w:p>
    <w:p w:rsidR="00E37579" w:rsidRDefault="00E37579" w:rsidP="00F6609B">
      <w:pPr>
        <w:pStyle w:val="Predeterminado"/>
        <w:spacing w:line="360" w:lineRule="auto"/>
        <w:jc w:val="both"/>
        <w:rPr>
          <w:rFonts w:hAnsi="Times New Roman"/>
          <w:szCs w:val="24"/>
          <w:lang w:val="es-AR"/>
        </w:rPr>
      </w:pPr>
      <w:r>
        <w:rPr>
          <w:rFonts w:hAnsi="Times New Roman"/>
          <w:lang w:val="es-AR"/>
        </w:rPr>
        <w:t>Durante el ciclo de gobierno de Cristina Ferná</w:t>
      </w:r>
      <w:r w:rsidRPr="001D55A5">
        <w:rPr>
          <w:rFonts w:hAnsi="Times New Roman"/>
          <w:lang w:val="es-AR"/>
        </w:rPr>
        <w:t>ndez de Kirchner</w:t>
      </w:r>
      <w:r>
        <w:rPr>
          <w:rFonts w:hAnsi="Times New Roman"/>
          <w:lang w:val="es-AR"/>
        </w:rPr>
        <w:t xml:space="preserve"> (2007-2015)</w:t>
      </w:r>
      <w:r w:rsidRPr="001D55A5">
        <w:rPr>
          <w:rFonts w:hAnsi="Times New Roman"/>
          <w:lang w:val="es-AR"/>
        </w:rPr>
        <w:t xml:space="preserve">, </w:t>
      </w:r>
      <w:r>
        <w:rPr>
          <w:rFonts w:hAnsi="Times New Roman"/>
          <w:lang w:val="es-AR"/>
        </w:rPr>
        <w:t xml:space="preserve">ARSAT asume la </w:t>
      </w:r>
      <w:r w:rsidRPr="001D55A5">
        <w:rPr>
          <w:rFonts w:hAnsi="Times New Roman"/>
          <w:lang w:val="es-AR"/>
        </w:rPr>
        <w:t>responsabilidad sobre el desarrollo de nuevos proyect</w:t>
      </w:r>
      <w:r>
        <w:rPr>
          <w:rFonts w:hAnsi="Times New Roman"/>
          <w:lang w:val="es-AR"/>
        </w:rPr>
        <w:t>os que redefinen a las t</w:t>
      </w:r>
      <w:r w:rsidRPr="001D55A5">
        <w:rPr>
          <w:rFonts w:hAnsi="Times New Roman"/>
          <w:lang w:val="es-AR"/>
        </w:rPr>
        <w:t xml:space="preserve">elecomunicaciones </w:t>
      </w:r>
      <w:r>
        <w:rPr>
          <w:rFonts w:hAnsi="Times New Roman"/>
          <w:lang w:val="es-AR"/>
        </w:rPr>
        <w:t xml:space="preserve">como parte </w:t>
      </w:r>
      <w:r w:rsidRPr="001D55A5">
        <w:rPr>
          <w:rFonts w:hAnsi="Times New Roman"/>
          <w:lang w:val="es-AR"/>
        </w:rPr>
        <w:t xml:space="preserve">de los derechos básicos. </w:t>
      </w:r>
      <w:r w:rsidRPr="009231A3">
        <w:rPr>
          <w:rFonts w:hAnsi="Times New Roman"/>
          <w:szCs w:val="24"/>
          <w:lang w:val="es-AR"/>
        </w:rPr>
        <w:t>A lo largo de 2010, los procesos de toma de decisiones comenzaron a a</w:t>
      </w:r>
      <w:r>
        <w:rPr>
          <w:rFonts w:hAnsi="Times New Roman"/>
          <w:szCs w:val="24"/>
          <w:lang w:val="es-AR"/>
        </w:rPr>
        <w:t>celerarse y los objetivos de ARSAT</w:t>
      </w:r>
      <w:r w:rsidRPr="009231A3">
        <w:rPr>
          <w:rFonts w:hAnsi="Times New Roman"/>
          <w:szCs w:val="24"/>
          <w:lang w:val="es-AR"/>
        </w:rPr>
        <w:t xml:space="preserve"> se fueron diversificando y volvi</w:t>
      </w:r>
      <w:r>
        <w:rPr>
          <w:rFonts w:hAnsi="Times New Roman"/>
          <w:szCs w:val="24"/>
          <w:lang w:val="es-AR"/>
        </w:rPr>
        <w:t>éndose cada vez más ambiciosos.</w:t>
      </w:r>
      <w:r w:rsidRPr="001D55A5">
        <w:rPr>
          <w:rFonts w:hAnsi="Times New Roman"/>
          <w:lang w:val="es-AR"/>
        </w:rPr>
        <w:t xml:space="preserve"> </w:t>
      </w:r>
      <w:r>
        <w:rPr>
          <w:rFonts w:hAnsi="Times New Roman"/>
          <w:lang w:val="es-AR"/>
        </w:rPr>
        <w:t xml:space="preserve">Entre otras iniciativas, se inicia </w:t>
      </w:r>
      <w:r w:rsidRPr="001D55A5">
        <w:rPr>
          <w:rFonts w:hAnsi="Times New Roman"/>
          <w:lang w:val="es-AR"/>
        </w:rPr>
        <w:t>la construcción de la primera red troncal de fibra óptica estatal de Sudamérica, un proyecto</w:t>
      </w:r>
      <w:r>
        <w:rPr>
          <w:rFonts w:hAnsi="Times New Roman"/>
          <w:lang w:val="es-AR"/>
        </w:rPr>
        <w:t xml:space="preserve"> que se propone la construcción de más de 35.000 kilómetros</w:t>
      </w:r>
      <w:r w:rsidRPr="001D55A5">
        <w:rPr>
          <w:rFonts w:hAnsi="Times New Roman"/>
          <w:lang w:val="es-AR"/>
        </w:rPr>
        <w:t xml:space="preserve"> de conexiones federales </w:t>
      </w:r>
      <w:r>
        <w:rPr>
          <w:rFonts w:hAnsi="Times New Roman"/>
          <w:lang w:val="es-AR"/>
        </w:rPr>
        <w:t xml:space="preserve">con el propósito de </w:t>
      </w:r>
      <w:r w:rsidRPr="001D55A5">
        <w:rPr>
          <w:rFonts w:hAnsi="Times New Roman"/>
          <w:lang w:val="es-AR"/>
        </w:rPr>
        <w:t xml:space="preserve">cambiar el paradigma de las comunicaciones en nuestro país. </w:t>
      </w:r>
      <w:r>
        <w:rPr>
          <w:rFonts w:hAnsi="Times New Roman"/>
          <w:lang w:val="es-AR"/>
        </w:rPr>
        <w:t>T</w:t>
      </w:r>
      <w:r w:rsidRPr="001D55A5">
        <w:rPr>
          <w:rFonts w:hAnsi="Times New Roman"/>
          <w:lang w:val="es-AR"/>
        </w:rPr>
        <w:t xml:space="preserve">ambién se </w:t>
      </w:r>
      <w:r>
        <w:rPr>
          <w:rFonts w:hAnsi="Times New Roman"/>
          <w:lang w:val="es-AR"/>
        </w:rPr>
        <w:t xml:space="preserve">inicia ese año </w:t>
      </w:r>
      <w:r w:rsidRPr="001D55A5">
        <w:rPr>
          <w:rFonts w:hAnsi="Times New Roman"/>
          <w:lang w:val="es-AR"/>
        </w:rPr>
        <w:t xml:space="preserve">la construcción de la plataforma de distribución de la Televisión Digital Abierta, gratuita y de alta calidad. </w:t>
      </w:r>
      <w:r>
        <w:rPr>
          <w:rFonts w:hAnsi="Times New Roman"/>
          <w:lang w:val="es-AR"/>
        </w:rPr>
        <w:t xml:space="preserve">Todas estas acciones están orientadas a la satisfacción de los </w:t>
      </w:r>
      <w:r w:rsidRPr="001D55A5">
        <w:rPr>
          <w:rFonts w:hAnsi="Times New Roman"/>
          <w:lang w:val="es-AR"/>
        </w:rPr>
        <w:t xml:space="preserve">desafíos técnicos que exigía la hoy trunca </w:t>
      </w:r>
      <w:r>
        <w:rPr>
          <w:rFonts w:hAnsi="Times New Roman"/>
          <w:lang w:val="es-AR"/>
        </w:rPr>
        <w:t>Ley de “Servicios Comunicación Audiovisual”.</w:t>
      </w:r>
      <w:r>
        <w:rPr>
          <w:rStyle w:val="Refdenotaalpie"/>
          <w:rFonts w:hAnsi="Times New Roman"/>
          <w:lang w:val="es-AR"/>
        </w:rPr>
        <w:footnoteReference w:id="14"/>
      </w:r>
      <w:r w:rsidRPr="001D55A5">
        <w:rPr>
          <w:rFonts w:hAnsi="Times New Roman"/>
          <w:lang w:val="es-AR"/>
        </w:rPr>
        <w:t xml:space="preserve"> </w:t>
      </w:r>
      <w:r>
        <w:rPr>
          <w:rFonts w:hAnsi="Times New Roman"/>
          <w:lang w:val="es-AR"/>
        </w:rPr>
        <w:t>Así,</w:t>
      </w:r>
      <w:r>
        <w:rPr>
          <w:rFonts w:hAnsi="Times New Roman"/>
          <w:szCs w:val="24"/>
          <w:lang w:val="es-AR"/>
        </w:rPr>
        <w:t xml:space="preserve"> la empresa ARSAT</w:t>
      </w:r>
      <w:r w:rsidRPr="009231A3">
        <w:rPr>
          <w:rFonts w:hAnsi="Times New Roman"/>
          <w:szCs w:val="24"/>
          <w:lang w:val="es-AR"/>
        </w:rPr>
        <w:t xml:space="preserve"> </w:t>
      </w:r>
      <w:r>
        <w:rPr>
          <w:rFonts w:hAnsi="Times New Roman"/>
          <w:szCs w:val="24"/>
          <w:lang w:val="es-AR"/>
        </w:rPr>
        <w:t xml:space="preserve">se torna </w:t>
      </w:r>
      <w:r w:rsidRPr="009231A3">
        <w:rPr>
          <w:rFonts w:hAnsi="Times New Roman"/>
          <w:szCs w:val="24"/>
          <w:lang w:val="es-AR"/>
        </w:rPr>
        <w:t>un jug</w:t>
      </w:r>
      <w:r>
        <w:rPr>
          <w:rFonts w:hAnsi="Times New Roman"/>
          <w:szCs w:val="24"/>
          <w:lang w:val="es-AR"/>
        </w:rPr>
        <w:t>ador temido por los oligopolios</w:t>
      </w:r>
      <w:r w:rsidRPr="009231A3">
        <w:rPr>
          <w:rFonts w:hAnsi="Times New Roman"/>
          <w:szCs w:val="24"/>
          <w:lang w:val="es-AR"/>
        </w:rPr>
        <w:t xml:space="preserve"> de telefonía celular y televisión por cable, que eran los mismos que manejaban los medios masivos de comunicación.</w:t>
      </w:r>
    </w:p>
    <w:p w:rsidR="00E37579" w:rsidRDefault="00E37579" w:rsidP="00635862">
      <w:pPr>
        <w:pStyle w:val="Predeterminado"/>
        <w:spacing w:line="360" w:lineRule="auto"/>
        <w:jc w:val="both"/>
        <w:rPr>
          <w:rFonts w:hAnsi="Times New Roman"/>
          <w:lang w:val="es-AR"/>
        </w:rPr>
      </w:pPr>
      <w:r w:rsidRPr="00137EE2">
        <w:rPr>
          <w:rFonts w:hAnsi="Times New Roman"/>
          <w:szCs w:val="24"/>
          <w:shd w:val="clear" w:color="auto" w:fill="FFFFFF"/>
          <w:lang w:val="es-AR"/>
        </w:rPr>
        <w:t>A comienzos de 2011, INVAP se encuentra construyendo tres satélites en simu</w:t>
      </w:r>
      <w:r>
        <w:rPr>
          <w:rFonts w:hAnsi="Times New Roman"/>
          <w:szCs w:val="24"/>
          <w:shd w:val="clear" w:color="auto" w:fill="FFFFFF"/>
          <w:lang w:val="es-AR"/>
        </w:rPr>
        <w:t>ltáneo: SAC-D, SAOCOM-1A y ARSAT-</w:t>
      </w:r>
      <w:r w:rsidRPr="00137EE2">
        <w:rPr>
          <w:rFonts w:hAnsi="Times New Roman"/>
          <w:szCs w:val="24"/>
          <w:shd w:val="clear" w:color="auto" w:fill="FFFFFF"/>
          <w:lang w:val="es-AR"/>
        </w:rPr>
        <w:t>1.</w:t>
      </w:r>
      <w:r w:rsidRPr="00137EE2">
        <w:rPr>
          <w:rFonts w:hAnsi="Times New Roman"/>
          <w:szCs w:val="24"/>
          <w:lang w:val="es-AR"/>
        </w:rPr>
        <w:t xml:space="preserve"> </w:t>
      </w:r>
      <w:r w:rsidRPr="00137EE2">
        <w:rPr>
          <w:rFonts w:hAnsi="Times New Roman"/>
          <w:szCs w:val="24"/>
          <w:shd w:val="clear" w:color="auto" w:fill="FFFFFF"/>
          <w:lang w:val="es-AR"/>
        </w:rPr>
        <w:t xml:space="preserve">Dos años más tarde, se inauguró en Bariloche la empresa CEATSA (Centro de Ensayos de Alta Tecnología), una sociedad entre INVAP y ARSAT, que contaba con las instalaciones necesarias para hacer los ensayos </w:t>
      </w:r>
      <w:r w:rsidRPr="00137EE2">
        <w:rPr>
          <w:rFonts w:hAnsi="Times New Roman"/>
          <w:szCs w:val="24"/>
          <w:lang w:val="es-MX"/>
        </w:rPr>
        <w:t>ambientales para la industria satelital</w:t>
      </w:r>
      <w:r w:rsidRPr="00137EE2">
        <w:rPr>
          <w:rFonts w:hAnsi="Times New Roman"/>
          <w:szCs w:val="24"/>
          <w:shd w:val="clear" w:color="auto" w:fill="FFFFFF"/>
          <w:lang w:val="es-AR"/>
        </w:rPr>
        <w:t>.</w:t>
      </w:r>
      <w:r w:rsidRPr="00137EE2">
        <w:rPr>
          <w:rFonts w:hAnsi="Times New Roman"/>
          <w:szCs w:val="24"/>
          <w:lang w:val="es-AR"/>
        </w:rPr>
        <w:t xml:space="preserve"> </w:t>
      </w:r>
      <w:r w:rsidRPr="00137EE2">
        <w:rPr>
          <w:rFonts w:hAnsi="Times New Roman"/>
          <w:szCs w:val="24"/>
          <w:shd w:val="clear" w:color="auto" w:fill="FFFFFF"/>
          <w:lang w:val="es-AR"/>
        </w:rPr>
        <w:t>En una década (2003-2013) el personal de INVAP paso de 350 a 1100 personas y elevó su facturación de 30 a 200 millones de dólares anuales.</w:t>
      </w:r>
      <w:r w:rsidRPr="00137EE2">
        <w:rPr>
          <w:rFonts w:hAnsi="Times New Roman"/>
          <w:szCs w:val="24"/>
          <w:lang w:val="es-AR"/>
        </w:rPr>
        <w:t xml:space="preserve"> También en</w:t>
      </w:r>
      <w:r w:rsidRPr="00137EE2">
        <w:rPr>
          <w:rFonts w:hAnsi="Times New Roman"/>
          <w:lang w:val="es-AR"/>
        </w:rPr>
        <w:t xml:space="preserve"> 2012, ARSAT comenzó la construcción del </w:t>
      </w:r>
      <w:r>
        <w:rPr>
          <w:rFonts w:hAnsi="Times New Roman"/>
          <w:lang w:val="es-AR"/>
        </w:rPr>
        <w:t>Centro de Datos</w:t>
      </w:r>
      <w:r w:rsidRPr="00137EE2">
        <w:rPr>
          <w:rFonts w:hAnsi="Times New Roman"/>
          <w:lang w:val="es-AR"/>
        </w:rPr>
        <w:t xml:space="preserve"> más grande y seguro de nuestro país y de América Latin</w:t>
      </w:r>
      <w:r>
        <w:rPr>
          <w:rFonts w:hAnsi="Times New Roman"/>
          <w:lang w:val="es-AR"/>
        </w:rPr>
        <w:t>a. Poco más tarde, ARSAT pasa</w:t>
      </w:r>
      <w:r w:rsidRPr="001D55A5">
        <w:rPr>
          <w:rFonts w:hAnsi="Times New Roman"/>
          <w:lang w:val="es-AR"/>
        </w:rPr>
        <w:t xml:space="preserve"> a la fase de comercialización y </w:t>
      </w:r>
      <w:r>
        <w:rPr>
          <w:rFonts w:hAnsi="Times New Roman"/>
          <w:lang w:val="es-AR"/>
        </w:rPr>
        <w:t>agregación de valor a estas infraestructuras, productos de la inversión del Estado nacional. Estos desafíos marcan una etapa donde la empresa centra sus esfuerzos en el des</w:t>
      </w:r>
      <w:r w:rsidRPr="000B0782">
        <w:rPr>
          <w:rFonts w:hAnsi="Times New Roman"/>
          <w:lang w:val="es-AR"/>
        </w:rPr>
        <w:t>arrollo de estos proyectos tecnológicos.</w:t>
      </w:r>
    </w:p>
    <w:p w:rsidR="00E37579" w:rsidRPr="00635862" w:rsidRDefault="00E37579" w:rsidP="00635862">
      <w:pPr>
        <w:pStyle w:val="Predeterminado"/>
        <w:spacing w:line="360" w:lineRule="auto"/>
        <w:jc w:val="both"/>
        <w:rPr>
          <w:rFonts w:hAnsi="Times New Roman"/>
          <w:szCs w:val="24"/>
          <w:lang w:val="es-AR"/>
        </w:rPr>
      </w:pPr>
      <w:r>
        <w:rPr>
          <w:rFonts w:hAnsi="Times New Roman"/>
          <w:bCs/>
          <w:szCs w:val="24"/>
          <w:lang w:val="es-AR" w:eastAsia="es-AR"/>
        </w:rPr>
        <w:t>U</w:t>
      </w:r>
      <w:r w:rsidRPr="009231A3">
        <w:rPr>
          <w:rFonts w:hAnsi="Times New Roman"/>
          <w:bCs/>
          <w:szCs w:val="24"/>
          <w:lang w:val="es-AR" w:eastAsia="es-AR"/>
        </w:rPr>
        <w:t>na vez finalizados los</w:t>
      </w:r>
      <w:r w:rsidRPr="009231A3">
        <w:rPr>
          <w:rFonts w:hAnsi="Times New Roman"/>
          <w:szCs w:val="24"/>
          <w:lang w:val="es-AR"/>
        </w:rPr>
        <w:t xml:space="preserve"> procesos de auditoría y revisión de procedimientos, de manejo del riesgo y control de calidad,</w:t>
      </w:r>
      <w:r>
        <w:rPr>
          <w:rFonts w:hAnsi="Times New Roman"/>
          <w:bCs/>
          <w:szCs w:val="24"/>
          <w:lang w:val="es-AR" w:eastAsia="es-AR"/>
        </w:rPr>
        <w:t xml:space="preserve"> ARSAT</w:t>
      </w:r>
      <w:r w:rsidRPr="009231A3">
        <w:rPr>
          <w:rFonts w:hAnsi="Times New Roman"/>
          <w:bCs/>
          <w:szCs w:val="24"/>
          <w:lang w:val="es-AR" w:eastAsia="es-AR"/>
        </w:rPr>
        <w:t xml:space="preserve"> y Nación Seguros, con el respaldo</w:t>
      </w:r>
      <w:r w:rsidRPr="009231A3">
        <w:rPr>
          <w:rFonts w:hAnsi="Times New Roman"/>
          <w:szCs w:val="24"/>
          <w:lang w:val="es-AR"/>
        </w:rPr>
        <w:t xml:space="preserve"> de reaseguradoras internacionales, firmaron </w:t>
      </w:r>
      <w:r>
        <w:rPr>
          <w:rFonts w:hAnsi="Times New Roman"/>
          <w:szCs w:val="24"/>
          <w:shd w:val="clear" w:color="auto" w:fill="FFFFFF"/>
          <w:lang w:val="es-AR"/>
        </w:rPr>
        <w:t>en</w:t>
      </w:r>
      <w:r>
        <w:rPr>
          <w:rFonts w:hAnsi="Times New Roman"/>
          <w:bCs/>
          <w:szCs w:val="24"/>
          <w:lang w:val="es-AR" w:eastAsia="es-AR"/>
        </w:rPr>
        <w:t xml:space="preserve"> abril de 2014</w:t>
      </w:r>
      <w:r w:rsidRPr="009231A3">
        <w:rPr>
          <w:rFonts w:hAnsi="Times New Roman"/>
          <w:bCs/>
          <w:szCs w:val="24"/>
          <w:lang w:val="es-AR" w:eastAsia="es-AR"/>
        </w:rPr>
        <w:t xml:space="preserve"> </w:t>
      </w:r>
      <w:r>
        <w:rPr>
          <w:rFonts w:hAnsi="Times New Roman"/>
          <w:szCs w:val="24"/>
          <w:lang w:val="es-AR"/>
        </w:rPr>
        <w:t>la póliza de los satélites ARSAT-</w:t>
      </w:r>
      <w:r w:rsidRPr="009231A3">
        <w:rPr>
          <w:rFonts w:hAnsi="Times New Roman"/>
          <w:szCs w:val="24"/>
          <w:lang w:val="es-AR"/>
        </w:rPr>
        <w:t xml:space="preserve">1 y 2. </w:t>
      </w:r>
      <w:r w:rsidRPr="009231A3">
        <w:rPr>
          <w:rFonts w:hAnsi="Times New Roman"/>
          <w:bCs/>
          <w:szCs w:val="24"/>
          <w:lang w:val="es-AR" w:eastAsia="es-AR"/>
        </w:rPr>
        <w:t>El 16 de octubre</w:t>
      </w:r>
      <w:r>
        <w:rPr>
          <w:rFonts w:hAnsi="Times New Roman"/>
          <w:bCs/>
          <w:szCs w:val="24"/>
          <w:lang w:val="es-AR" w:eastAsia="es-AR"/>
        </w:rPr>
        <w:t xml:space="preserve"> de 2014, fue lanzado el ARSAT-</w:t>
      </w:r>
      <w:r w:rsidRPr="009231A3">
        <w:rPr>
          <w:rFonts w:hAnsi="Times New Roman"/>
          <w:bCs/>
          <w:szCs w:val="24"/>
          <w:lang w:val="es-AR" w:eastAsia="es-AR"/>
        </w:rPr>
        <w:t>1 en el cohete Ariane 5 desde la base</w:t>
      </w:r>
      <w:r>
        <w:rPr>
          <w:rFonts w:hAnsi="Times New Roman"/>
          <w:bCs/>
          <w:szCs w:val="24"/>
          <w:lang w:val="es-AR" w:eastAsia="es-AR"/>
        </w:rPr>
        <w:t xml:space="preserve"> de </w:t>
      </w:r>
      <w:proofErr w:type="spellStart"/>
      <w:r>
        <w:rPr>
          <w:rFonts w:hAnsi="Times New Roman"/>
          <w:bCs/>
          <w:szCs w:val="24"/>
          <w:lang w:val="es-AR" w:eastAsia="es-AR"/>
        </w:rPr>
        <w:t>Kourou</w:t>
      </w:r>
      <w:proofErr w:type="spellEnd"/>
      <w:r>
        <w:rPr>
          <w:rFonts w:hAnsi="Times New Roman"/>
          <w:bCs/>
          <w:szCs w:val="24"/>
          <w:lang w:val="es-AR" w:eastAsia="es-AR"/>
        </w:rPr>
        <w:t>, en</w:t>
      </w:r>
      <w:r w:rsidRPr="009231A3">
        <w:rPr>
          <w:rFonts w:hAnsi="Times New Roman"/>
          <w:bCs/>
          <w:szCs w:val="24"/>
          <w:lang w:val="es-AR" w:eastAsia="es-AR"/>
        </w:rPr>
        <w:t xml:space="preserve"> Guayana Francesa. </w:t>
      </w:r>
      <w:r w:rsidRPr="009231A3">
        <w:rPr>
          <w:rFonts w:hAnsi="Times New Roman"/>
          <w:szCs w:val="24"/>
          <w:lang w:val="es-AR"/>
        </w:rPr>
        <w:t xml:space="preserve">Desde la Estación Terrena </w:t>
      </w:r>
      <w:proofErr w:type="spellStart"/>
      <w:r w:rsidRPr="009231A3">
        <w:rPr>
          <w:rFonts w:hAnsi="Times New Roman"/>
          <w:szCs w:val="24"/>
          <w:lang w:val="es-AR"/>
        </w:rPr>
        <w:t>Benavídez</w:t>
      </w:r>
      <w:proofErr w:type="spellEnd"/>
      <w:r w:rsidRPr="009231A3">
        <w:rPr>
          <w:rFonts w:hAnsi="Times New Roman"/>
          <w:szCs w:val="24"/>
          <w:lang w:val="es-AR"/>
        </w:rPr>
        <w:t xml:space="preserve"> se </w:t>
      </w:r>
      <w:r>
        <w:rPr>
          <w:rFonts w:hAnsi="Times New Roman"/>
          <w:szCs w:val="24"/>
          <w:lang w:val="es-AR"/>
        </w:rPr>
        <w:t xml:space="preserve">colocó </w:t>
      </w:r>
      <w:r w:rsidRPr="009231A3">
        <w:rPr>
          <w:rFonts w:hAnsi="Times New Roman"/>
          <w:szCs w:val="24"/>
          <w:lang w:val="es-AR"/>
        </w:rPr>
        <w:t xml:space="preserve">al satélite </w:t>
      </w:r>
      <w:r>
        <w:rPr>
          <w:rFonts w:hAnsi="Times New Roman"/>
          <w:szCs w:val="24"/>
          <w:lang w:val="es-AR"/>
        </w:rPr>
        <w:t>en la POG de 72° O, a</w:t>
      </w:r>
      <w:r w:rsidRPr="009231A3">
        <w:rPr>
          <w:rFonts w:hAnsi="Times New Roman"/>
          <w:szCs w:val="24"/>
          <w:lang w:val="es-AR"/>
        </w:rPr>
        <w:t xml:space="preserve"> </w:t>
      </w:r>
      <w:r>
        <w:rPr>
          <w:rFonts w:hAnsi="Times New Roman"/>
          <w:szCs w:val="24"/>
          <w:lang w:val="es-AR"/>
        </w:rPr>
        <w:t>35.786 kilómetros de altura</w:t>
      </w:r>
      <w:r w:rsidRPr="009231A3">
        <w:rPr>
          <w:rFonts w:hAnsi="Times New Roman"/>
          <w:szCs w:val="24"/>
          <w:lang w:val="es-AR"/>
        </w:rPr>
        <w:t>, donde comenzó a operar por un período de 15 años. El 30 de septiembre de</w:t>
      </w:r>
      <w:r>
        <w:rPr>
          <w:rFonts w:hAnsi="Times New Roman"/>
          <w:szCs w:val="24"/>
          <w:lang w:val="es-AR"/>
        </w:rPr>
        <w:t>l año siguiente</w:t>
      </w:r>
      <w:r w:rsidR="003605F1">
        <w:rPr>
          <w:rFonts w:hAnsi="Times New Roman"/>
          <w:szCs w:val="24"/>
          <w:lang w:val="es-AR"/>
        </w:rPr>
        <w:t xml:space="preserve"> fue lanzado el </w:t>
      </w:r>
      <w:r w:rsidR="003605F1">
        <w:rPr>
          <w:rFonts w:hAnsi="Times New Roman"/>
          <w:szCs w:val="24"/>
          <w:lang w:val="es-AR"/>
        </w:rPr>
        <w:lastRenderedPageBreak/>
        <w:t>ARSAT</w:t>
      </w:r>
      <w:r w:rsidRPr="009231A3">
        <w:rPr>
          <w:rFonts w:hAnsi="Times New Roman"/>
          <w:szCs w:val="24"/>
          <w:lang w:val="es-AR"/>
        </w:rPr>
        <w:t xml:space="preserve"> 2</w:t>
      </w:r>
      <w:r>
        <w:rPr>
          <w:rFonts w:hAnsi="Times New Roman"/>
          <w:szCs w:val="24"/>
          <w:lang w:val="es-AR"/>
        </w:rPr>
        <w:t xml:space="preserve"> y ubicado en la POG de 81° O</w:t>
      </w:r>
      <w:r w:rsidRPr="009231A3">
        <w:rPr>
          <w:rFonts w:hAnsi="Times New Roman"/>
          <w:szCs w:val="24"/>
          <w:lang w:val="es-AR"/>
        </w:rPr>
        <w:t xml:space="preserve">. </w:t>
      </w:r>
    </w:p>
    <w:p w:rsidR="00E37579" w:rsidRPr="009231A3" w:rsidRDefault="003605F1" w:rsidP="00635862">
      <w:pPr>
        <w:tabs>
          <w:tab w:val="left" w:pos="851"/>
        </w:tabs>
        <w:spacing w:after="120" w:line="360" w:lineRule="auto"/>
        <w:rPr>
          <w:sz w:val="24"/>
          <w:szCs w:val="24"/>
        </w:rPr>
      </w:pPr>
      <w:r>
        <w:rPr>
          <w:rFonts w:eastAsia="Times New Roman"/>
          <w:bCs/>
          <w:sz w:val="24"/>
          <w:szCs w:val="24"/>
          <w:bdr w:val="none" w:sz="0" w:space="0" w:color="auto" w:frame="1"/>
        </w:rPr>
        <w:t>A fines de 2015, ARSAT</w:t>
      </w:r>
      <w:r w:rsidR="00E37579" w:rsidRPr="009231A3">
        <w:rPr>
          <w:rFonts w:eastAsia="Times New Roman"/>
          <w:bCs/>
          <w:sz w:val="24"/>
          <w:szCs w:val="24"/>
          <w:bdr w:val="none" w:sz="0" w:space="0" w:color="auto" w:frame="1"/>
        </w:rPr>
        <w:t xml:space="preserve"> era una empresa en expansión que contaba con dos satélites de diseño y construcción nacional,</w:t>
      </w:r>
      <w:r w:rsidR="00E37579">
        <w:rPr>
          <w:rFonts w:eastAsia="Times New Roman"/>
          <w:bCs/>
          <w:sz w:val="24"/>
          <w:szCs w:val="24"/>
          <w:bdr w:val="none" w:sz="0" w:space="0" w:color="auto" w:frame="1"/>
        </w:rPr>
        <w:t xml:space="preserve"> que ocupaban</w:t>
      </w:r>
      <w:r w:rsidR="00E37579" w:rsidRPr="009231A3">
        <w:rPr>
          <w:rFonts w:eastAsia="Times New Roman"/>
          <w:bCs/>
          <w:sz w:val="24"/>
          <w:szCs w:val="24"/>
          <w:bdr w:val="none" w:sz="0" w:space="0" w:color="auto" w:frame="1"/>
        </w:rPr>
        <w:t xml:space="preserve"> las dos posiciones orbitales argentinas,</w:t>
      </w:r>
      <w:r w:rsidR="00E37579" w:rsidRPr="009231A3">
        <w:rPr>
          <w:sz w:val="24"/>
          <w:szCs w:val="24"/>
        </w:rPr>
        <w:t xml:space="preserve"> </w:t>
      </w:r>
      <w:r w:rsidR="00E37579" w:rsidRPr="009231A3">
        <w:rPr>
          <w:rFonts w:eastAsia="Times New Roman"/>
          <w:bCs/>
          <w:sz w:val="24"/>
          <w:szCs w:val="24"/>
          <w:bdr w:val="none" w:sz="0" w:space="0" w:color="auto" w:frame="1"/>
        </w:rPr>
        <w:t>un Centro de Datos de 4500 metros cuadrados</w:t>
      </w:r>
      <w:r w:rsidR="00E37579" w:rsidRPr="009231A3">
        <w:rPr>
          <w:color w:val="000000"/>
          <w:sz w:val="24"/>
          <w:szCs w:val="24"/>
        </w:rPr>
        <w:t xml:space="preserve"> con certificación internacional </w:t>
      </w:r>
      <w:proofErr w:type="spellStart"/>
      <w:r w:rsidR="00E37579" w:rsidRPr="009231A3">
        <w:rPr>
          <w:color w:val="000000"/>
          <w:sz w:val="24"/>
          <w:szCs w:val="24"/>
        </w:rPr>
        <w:t>Tier</w:t>
      </w:r>
      <w:proofErr w:type="spellEnd"/>
      <w:r w:rsidR="00E37579" w:rsidRPr="009231A3">
        <w:rPr>
          <w:color w:val="000000"/>
          <w:sz w:val="24"/>
          <w:szCs w:val="24"/>
        </w:rPr>
        <w:t xml:space="preserve"> III y personal calificado</w:t>
      </w:r>
      <w:r w:rsidR="00E37579" w:rsidRPr="009231A3">
        <w:rPr>
          <w:rFonts w:eastAsia="Times New Roman"/>
          <w:bCs/>
          <w:sz w:val="24"/>
          <w:szCs w:val="24"/>
          <w:bdr w:val="none" w:sz="0" w:space="0" w:color="auto" w:frame="1"/>
        </w:rPr>
        <w:t xml:space="preserve">, </w:t>
      </w:r>
      <w:r w:rsidR="00E37579" w:rsidRPr="009231A3">
        <w:rPr>
          <w:sz w:val="24"/>
          <w:szCs w:val="24"/>
        </w:rPr>
        <w:t>88 estaciones terrestres de Televisión Digital Abierta (TDA) en su última etapa de despliegue, que había logrado cubrir el 80% de la población con el servicio terrestre y el 100% del territorio con el servicio satelital –</w:t>
      </w:r>
      <w:r w:rsidR="00E37579" w:rsidRPr="009231A3">
        <w:rPr>
          <w:rFonts w:eastAsia="Times New Roman"/>
          <w:bCs/>
          <w:sz w:val="24"/>
          <w:szCs w:val="24"/>
          <w:bdr w:val="none" w:sz="0" w:space="0" w:color="auto" w:frame="1"/>
        </w:rPr>
        <w:t>incluyendo la Península Antártica y las Islas Malvinas–</w:t>
      </w:r>
      <w:r w:rsidR="00E37579">
        <w:rPr>
          <w:sz w:val="24"/>
          <w:szCs w:val="24"/>
        </w:rPr>
        <w:t>, en proceso de</w:t>
      </w:r>
      <w:r w:rsidR="00E37579" w:rsidRPr="009231A3">
        <w:rPr>
          <w:sz w:val="24"/>
          <w:szCs w:val="24"/>
        </w:rPr>
        <w:t xml:space="preserve"> tendido de</w:t>
      </w:r>
      <w:r w:rsidR="00E37579">
        <w:rPr>
          <w:sz w:val="24"/>
          <w:szCs w:val="24"/>
        </w:rPr>
        <w:t xml:space="preserve"> una red troncal</w:t>
      </w:r>
      <w:r w:rsidR="00E37579" w:rsidRPr="009231A3">
        <w:rPr>
          <w:sz w:val="24"/>
          <w:szCs w:val="24"/>
        </w:rPr>
        <w:t>, clientes como los operadores Claro o Telefónica Argentina y un cronograma para finaliza</w:t>
      </w:r>
      <w:r w:rsidR="00E37579" w:rsidRPr="00DD1A2E">
        <w:rPr>
          <w:sz w:val="24"/>
          <w:szCs w:val="24"/>
        </w:rPr>
        <w:t>r la puesta en operación a fines de 2016 (Rus, 2017</w:t>
      </w:r>
      <w:r w:rsidR="00E37579">
        <w:rPr>
          <w:sz w:val="24"/>
          <w:szCs w:val="24"/>
        </w:rPr>
        <w:t>a</w:t>
      </w:r>
      <w:r w:rsidR="00E37579" w:rsidRPr="00DD1A2E">
        <w:rPr>
          <w:sz w:val="24"/>
          <w:szCs w:val="24"/>
        </w:rPr>
        <w:t>).</w:t>
      </w:r>
    </w:p>
    <w:p w:rsidR="00E37579" w:rsidRDefault="00E37579" w:rsidP="002C03A8">
      <w:pPr>
        <w:pStyle w:val="Predeterminado"/>
        <w:spacing w:line="360" w:lineRule="auto"/>
        <w:jc w:val="both"/>
        <w:rPr>
          <w:rFonts w:eastAsia="Times New Roman"/>
          <w:kern w:val="0"/>
          <w:szCs w:val="24"/>
          <w:lang w:val="es-ES" w:eastAsia="en-US"/>
        </w:rPr>
      </w:pPr>
      <w:r w:rsidRPr="009231A3">
        <w:rPr>
          <w:rFonts w:hAnsi="Times New Roman"/>
          <w:szCs w:val="24"/>
          <w:lang w:val="es-AR"/>
        </w:rPr>
        <w:t>El éxito de la trayectoria inicia</w:t>
      </w:r>
      <w:r w:rsidR="002E1AD1">
        <w:rPr>
          <w:rFonts w:hAnsi="Times New Roman"/>
          <w:szCs w:val="24"/>
          <w:lang w:val="es-AR"/>
        </w:rPr>
        <w:t>l de ARSAT</w:t>
      </w:r>
      <w:r w:rsidRPr="009231A3">
        <w:rPr>
          <w:rFonts w:hAnsi="Times New Roman"/>
          <w:szCs w:val="24"/>
          <w:lang w:val="es-AR"/>
        </w:rPr>
        <w:t xml:space="preserve"> motivó que, el 4 de noviembre de 2015, el Congreso Nacional sancionara</w:t>
      </w:r>
      <w:r>
        <w:rPr>
          <w:rFonts w:hAnsi="Times New Roman"/>
          <w:szCs w:val="24"/>
          <w:lang w:val="es-AR"/>
        </w:rPr>
        <w:t xml:space="preserve"> la L</w:t>
      </w:r>
      <w:r w:rsidRPr="009231A3">
        <w:rPr>
          <w:rFonts w:hAnsi="Times New Roman"/>
          <w:szCs w:val="24"/>
          <w:lang w:val="es-AR"/>
        </w:rPr>
        <w:t xml:space="preserve">ey 27.208 de </w:t>
      </w:r>
      <w:r>
        <w:rPr>
          <w:rFonts w:hAnsi="Times New Roman"/>
          <w:szCs w:val="24"/>
          <w:lang w:val="es-AR"/>
        </w:rPr>
        <w:t>“</w:t>
      </w:r>
      <w:r w:rsidRPr="009231A3">
        <w:rPr>
          <w:rFonts w:hAnsi="Times New Roman"/>
          <w:szCs w:val="24"/>
          <w:lang w:val="es-AR"/>
        </w:rPr>
        <w:t>Desarrollo de la Industria Satelital</w:t>
      </w:r>
      <w:r>
        <w:rPr>
          <w:rFonts w:hAnsi="Times New Roman"/>
          <w:szCs w:val="24"/>
          <w:lang w:val="es-AR"/>
        </w:rPr>
        <w:t>”,</w:t>
      </w:r>
      <w:r w:rsidRPr="009231A3">
        <w:rPr>
          <w:rFonts w:hAnsi="Times New Roman"/>
          <w:szCs w:val="24"/>
          <w:lang w:val="es-AR"/>
        </w:rPr>
        <w:t xml:space="preserve"> que declaró “de interés nacional el desarrollo de la industria satelital como </w:t>
      </w:r>
      <w:r>
        <w:rPr>
          <w:rFonts w:hAnsi="Times New Roman"/>
          <w:szCs w:val="24"/>
          <w:lang w:val="es-AR"/>
        </w:rPr>
        <w:t>política de Estado</w:t>
      </w:r>
      <w:r w:rsidRPr="009231A3">
        <w:rPr>
          <w:rFonts w:hAnsi="Times New Roman"/>
          <w:szCs w:val="24"/>
          <w:lang w:val="es-AR"/>
        </w:rPr>
        <w:t xml:space="preserve"> y de prioridad nacional, en lo que respecta a satélites geoestacionarios </w:t>
      </w:r>
      <w:r w:rsidRPr="002C03A8">
        <w:rPr>
          <w:rFonts w:hAnsi="Times New Roman"/>
          <w:szCs w:val="24"/>
          <w:lang w:val="es-AR"/>
        </w:rPr>
        <w:t>de telecomunicaciones” y aprobó el Plan Satelital Geoestacionario Argentino 2015-2035 que prevé, entre otros objetivos, el desarrollo nacional de ocho satélites en los siguientes 20 años.</w:t>
      </w:r>
      <w:r w:rsidRPr="002C03A8">
        <w:rPr>
          <w:rStyle w:val="Refdenotaalpie"/>
          <w:rFonts w:hAnsi="Times New Roman"/>
          <w:lang w:val="es-AR"/>
        </w:rPr>
        <w:footnoteReference w:id="15"/>
      </w:r>
      <w:r w:rsidRPr="002C03A8">
        <w:rPr>
          <w:rFonts w:hAnsi="Times New Roman"/>
          <w:szCs w:val="24"/>
          <w:lang w:val="es-AR"/>
        </w:rPr>
        <w:t xml:space="preserve"> El primer hito de </w:t>
      </w:r>
      <w:r>
        <w:rPr>
          <w:rFonts w:hAnsi="Times New Roman"/>
          <w:szCs w:val="24"/>
          <w:lang w:val="es-AR"/>
        </w:rPr>
        <w:t>este plan era el proyecto ARSAT-</w:t>
      </w:r>
      <w:r w:rsidRPr="002C03A8">
        <w:rPr>
          <w:rFonts w:hAnsi="Times New Roman"/>
          <w:szCs w:val="24"/>
          <w:lang w:val="es-AR"/>
        </w:rPr>
        <w:t>3, que debería haberse comenzado a construir en</w:t>
      </w:r>
      <w:r w:rsidRPr="009231A3">
        <w:rPr>
          <w:rFonts w:hAnsi="Times New Roman"/>
          <w:szCs w:val="24"/>
          <w:lang w:val="es-AR"/>
        </w:rPr>
        <w:t xml:space="preserve"> 2016 para poder cumplir con los plazos y ser puesto en órbita en 2019.</w:t>
      </w:r>
    </w:p>
    <w:p w:rsidR="00E37579" w:rsidRPr="002C03A8" w:rsidRDefault="00E37579" w:rsidP="002C03A8">
      <w:pPr>
        <w:tabs>
          <w:tab w:val="left" w:pos="851"/>
        </w:tabs>
        <w:spacing w:after="120" w:line="360" w:lineRule="auto"/>
        <w:rPr>
          <w:i/>
          <w:sz w:val="24"/>
          <w:szCs w:val="24"/>
          <w:shd w:val="clear" w:color="auto" w:fill="FFFFFF"/>
        </w:rPr>
      </w:pPr>
      <w:r>
        <w:rPr>
          <w:i/>
          <w:sz w:val="24"/>
          <w:szCs w:val="24"/>
        </w:rPr>
        <w:t>R</w:t>
      </w:r>
      <w:r w:rsidRPr="002C03A8">
        <w:rPr>
          <w:i/>
          <w:sz w:val="24"/>
          <w:szCs w:val="24"/>
        </w:rPr>
        <w:t>etorno a los</w:t>
      </w:r>
      <w:r>
        <w:rPr>
          <w:i/>
          <w:sz w:val="24"/>
          <w:szCs w:val="24"/>
        </w:rPr>
        <w:t xml:space="preserve"> “cielos abiertos” y paralización de ARSAT</w:t>
      </w:r>
    </w:p>
    <w:p w:rsidR="00E37579" w:rsidRPr="005A20A7" w:rsidRDefault="00E37579" w:rsidP="002C03A8">
      <w:pPr>
        <w:tabs>
          <w:tab w:val="left" w:pos="851"/>
        </w:tabs>
        <w:spacing w:after="120" w:line="360" w:lineRule="auto"/>
        <w:rPr>
          <w:rFonts w:eastAsia="Times New Roman"/>
          <w:sz w:val="24"/>
          <w:szCs w:val="24"/>
        </w:rPr>
      </w:pPr>
      <w:r w:rsidRPr="009231A3">
        <w:rPr>
          <w:rFonts w:eastAsia="Times New Roman"/>
          <w:sz w:val="24"/>
          <w:szCs w:val="24"/>
        </w:rPr>
        <w:t xml:space="preserve">En diciembre de 2015, cuando asume la presidencia Mauricio </w:t>
      </w:r>
      <w:proofErr w:type="spellStart"/>
      <w:r w:rsidRPr="009231A3">
        <w:rPr>
          <w:rFonts w:eastAsia="Times New Roman"/>
          <w:sz w:val="24"/>
          <w:szCs w:val="24"/>
        </w:rPr>
        <w:t>Macri</w:t>
      </w:r>
      <w:proofErr w:type="spellEnd"/>
      <w:r w:rsidRPr="009231A3">
        <w:rPr>
          <w:rFonts w:eastAsia="Times New Roman"/>
          <w:sz w:val="24"/>
          <w:szCs w:val="24"/>
        </w:rPr>
        <w:t xml:space="preserve"> (2015-2019), </w:t>
      </w:r>
      <w:r w:rsidR="003605F1">
        <w:rPr>
          <w:rFonts w:eastAsia="Times New Roman"/>
          <w:sz w:val="24"/>
          <w:szCs w:val="24"/>
        </w:rPr>
        <w:t>ARSAT</w:t>
      </w:r>
      <w:r>
        <w:rPr>
          <w:rFonts w:eastAsia="Times New Roman"/>
          <w:sz w:val="24"/>
          <w:szCs w:val="24"/>
        </w:rPr>
        <w:t>-</w:t>
      </w:r>
      <w:r w:rsidRPr="009231A3">
        <w:rPr>
          <w:rFonts w:eastAsia="Times New Roman"/>
          <w:sz w:val="24"/>
          <w:szCs w:val="24"/>
        </w:rPr>
        <w:t>1 se encontraba con su capacidad</w:t>
      </w:r>
      <w:r w:rsidR="003605F1">
        <w:rPr>
          <w:rFonts w:eastAsia="Times New Roman"/>
          <w:sz w:val="24"/>
          <w:szCs w:val="24"/>
        </w:rPr>
        <w:t xml:space="preserve"> casi totalmente vendida y ARSAT</w:t>
      </w:r>
      <w:r>
        <w:rPr>
          <w:rFonts w:eastAsia="Times New Roman"/>
          <w:sz w:val="24"/>
          <w:szCs w:val="24"/>
        </w:rPr>
        <w:t>-</w:t>
      </w:r>
      <w:r w:rsidRPr="009231A3">
        <w:rPr>
          <w:rFonts w:eastAsia="Times New Roman"/>
          <w:sz w:val="24"/>
          <w:szCs w:val="24"/>
        </w:rPr>
        <w:t>2 se encontraba en proceso de entrada en servicio y un cronograma de migraciones de tres clien</w:t>
      </w:r>
      <w:r w:rsidRPr="00DD1A2E">
        <w:rPr>
          <w:rFonts w:eastAsia="Times New Roman"/>
          <w:sz w:val="24"/>
          <w:szCs w:val="24"/>
        </w:rPr>
        <w:t xml:space="preserve">tes para ocupar el 30% de su capacidad (Rus, 2016). </w:t>
      </w:r>
      <w:r>
        <w:rPr>
          <w:rFonts w:eastAsia="Times New Roman"/>
          <w:sz w:val="24"/>
          <w:szCs w:val="24"/>
        </w:rPr>
        <w:t>Sin embargo,</w:t>
      </w:r>
      <w:r w:rsidRPr="00DD1A2E">
        <w:rPr>
          <w:rFonts w:eastAsia="Times New Roman"/>
          <w:sz w:val="24"/>
          <w:szCs w:val="24"/>
        </w:rPr>
        <w:t xml:space="preserve"> </w:t>
      </w:r>
      <w:r w:rsidRPr="00FF6EBE">
        <w:rPr>
          <w:sz w:val="24"/>
          <w:szCs w:val="24"/>
        </w:rPr>
        <w:t>la alianza Cambiemos</w:t>
      </w:r>
      <w:r>
        <w:rPr>
          <w:sz w:val="24"/>
          <w:szCs w:val="24"/>
        </w:rPr>
        <w:t xml:space="preserve"> decide desde el comienzo</w:t>
      </w:r>
      <w:r w:rsidRPr="00FF6EBE">
        <w:rPr>
          <w:sz w:val="24"/>
          <w:szCs w:val="24"/>
        </w:rPr>
        <w:t xml:space="preserve"> la </w:t>
      </w:r>
      <w:r>
        <w:rPr>
          <w:sz w:val="24"/>
          <w:szCs w:val="24"/>
        </w:rPr>
        <w:t>paralización del proyecto ARSAT-</w:t>
      </w:r>
      <w:r w:rsidRPr="00FF6EBE">
        <w:rPr>
          <w:sz w:val="24"/>
          <w:szCs w:val="24"/>
        </w:rPr>
        <w:t xml:space="preserve">3 </w:t>
      </w:r>
      <w:r w:rsidRPr="009231A3">
        <w:rPr>
          <w:rFonts w:eastAsia="Times New Roman"/>
          <w:sz w:val="24"/>
          <w:szCs w:val="24"/>
        </w:rPr>
        <w:t xml:space="preserve">y el </w:t>
      </w:r>
      <w:r>
        <w:rPr>
          <w:rFonts w:eastAsia="Times New Roman"/>
          <w:sz w:val="24"/>
          <w:szCs w:val="24"/>
        </w:rPr>
        <w:t>retorno a un nuevo ciclo de “cielos abiertos”, que autorizó en su primer</w:t>
      </w:r>
      <w:r w:rsidRPr="009231A3">
        <w:rPr>
          <w:rFonts w:eastAsia="Times New Roman"/>
          <w:sz w:val="24"/>
          <w:szCs w:val="24"/>
        </w:rPr>
        <w:t xml:space="preserve"> año </w:t>
      </w:r>
      <w:r>
        <w:rPr>
          <w:rFonts w:eastAsia="Times New Roman"/>
          <w:sz w:val="24"/>
          <w:szCs w:val="24"/>
        </w:rPr>
        <w:t>de gobierno la entrada de siete satélites</w:t>
      </w:r>
      <w:r w:rsidRPr="009231A3">
        <w:rPr>
          <w:rFonts w:eastAsia="Times New Roman"/>
          <w:sz w:val="24"/>
          <w:szCs w:val="24"/>
        </w:rPr>
        <w:t xml:space="preserve"> extranjeros al mercado satelital argentino</w:t>
      </w:r>
      <w:r>
        <w:rPr>
          <w:rFonts w:eastAsia="Times New Roman"/>
          <w:sz w:val="24"/>
          <w:szCs w:val="24"/>
        </w:rPr>
        <w:t xml:space="preserve"> y a julio de 2017 había autorizado siete satélites adicionales, violando los artículos 22 y 24 de l</w:t>
      </w:r>
      <w:r w:rsidRPr="00DD1A2E">
        <w:rPr>
          <w:rFonts w:eastAsia="Times New Roman"/>
          <w:sz w:val="24"/>
          <w:szCs w:val="24"/>
        </w:rPr>
        <w:t>a Resolución 3609/99 (Rus, 2017b).</w:t>
      </w:r>
      <w:r>
        <w:rPr>
          <w:rFonts w:eastAsia="Times New Roman"/>
          <w:sz w:val="24"/>
          <w:szCs w:val="24"/>
        </w:rPr>
        <w:t xml:space="preserve"> Entre otras consecuencias, en 2019 se perdería la prioridad de banda </w:t>
      </w:r>
      <w:proofErr w:type="spellStart"/>
      <w:r>
        <w:rPr>
          <w:rFonts w:eastAsia="Times New Roman"/>
          <w:sz w:val="24"/>
          <w:szCs w:val="24"/>
        </w:rPr>
        <w:t>Ka</w:t>
      </w:r>
      <w:proofErr w:type="spellEnd"/>
      <w:r>
        <w:rPr>
          <w:rFonts w:eastAsia="Times New Roman"/>
          <w:sz w:val="24"/>
          <w:szCs w:val="24"/>
        </w:rPr>
        <w:t xml:space="preserve"> en la POG de 81° O en favor de Francia. Por esta razón, para esa fecha estaba pr</w:t>
      </w:r>
      <w:r w:rsidR="003605F1">
        <w:rPr>
          <w:rFonts w:eastAsia="Times New Roman"/>
          <w:sz w:val="24"/>
          <w:szCs w:val="24"/>
        </w:rPr>
        <w:t>ogramado el lanzamiento de ARSAT</w:t>
      </w:r>
      <w:r>
        <w:rPr>
          <w:rFonts w:eastAsia="Times New Roman"/>
          <w:sz w:val="24"/>
          <w:szCs w:val="24"/>
        </w:rPr>
        <w:t xml:space="preserve"> 3, concebido para contar con capacidad en esa banda. Durante 2016, también se paralizó la instalación de antenas de televisión digital, se discontinuó la entrega de decodificadores y se transfirió el Centro de Datos al Ministerio de Modernización (</w:t>
      </w:r>
      <w:proofErr w:type="spellStart"/>
      <w:r>
        <w:rPr>
          <w:rFonts w:eastAsia="Times New Roman"/>
          <w:sz w:val="24"/>
          <w:szCs w:val="24"/>
        </w:rPr>
        <w:t>Borelli</w:t>
      </w:r>
      <w:proofErr w:type="spellEnd"/>
      <w:r>
        <w:rPr>
          <w:rFonts w:eastAsia="Times New Roman"/>
          <w:sz w:val="24"/>
          <w:szCs w:val="24"/>
        </w:rPr>
        <w:t>, 2016). En este punto ya resultaba clara</w:t>
      </w:r>
      <w:r>
        <w:rPr>
          <w:sz w:val="24"/>
          <w:szCs w:val="24"/>
        </w:rPr>
        <w:t xml:space="preserve"> la clausura de una concepción estratégica del sector de las comunicaciones satelitales y el abandono de la política de Estado en este sector</w:t>
      </w:r>
      <w:r>
        <w:rPr>
          <w:rFonts w:eastAsia="Times New Roman"/>
          <w:sz w:val="24"/>
          <w:szCs w:val="24"/>
        </w:rPr>
        <w:t>.</w:t>
      </w:r>
    </w:p>
    <w:p w:rsidR="00E37579" w:rsidRPr="00430ED1" w:rsidRDefault="00E37579" w:rsidP="002C03A8">
      <w:pPr>
        <w:tabs>
          <w:tab w:val="left" w:pos="851"/>
        </w:tabs>
        <w:spacing w:after="120" w:line="360" w:lineRule="auto"/>
        <w:rPr>
          <w:color w:val="1D2129"/>
          <w:sz w:val="24"/>
          <w:szCs w:val="24"/>
        </w:rPr>
      </w:pPr>
      <w:r>
        <w:rPr>
          <w:color w:val="1D2129"/>
          <w:sz w:val="24"/>
          <w:szCs w:val="24"/>
        </w:rPr>
        <w:lastRenderedPageBreak/>
        <w:t>En julio de 2017</w:t>
      </w:r>
      <w:r w:rsidRPr="009231A3">
        <w:rPr>
          <w:color w:val="1D2129"/>
          <w:sz w:val="24"/>
          <w:szCs w:val="24"/>
        </w:rPr>
        <w:t xml:space="preserve">, </w:t>
      </w:r>
      <w:r>
        <w:rPr>
          <w:color w:val="1D2129"/>
          <w:sz w:val="24"/>
          <w:szCs w:val="24"/>
        </w:rPr>
        <w:t>se filtró</w:t>
      </w:r>
      <w:r w:rsidRPr="009231A3">
        <w:rPr>
          <w:color w:val="1D2129"/>
          <w:sz w:val="24"/>
          <w:szCs w:val="24"/>
        </w:rPr>
        <w:t xml:space="preserve"> </w:t>
      </w:r>
      <w:r>
        <w:rPr>
          <w:color w:val="1D2129"/>
          <w:sz w:val="24"/>
          <w:szCs w:val="24"/>
        </w:rPr>
        <w:t xml:space="preserve">una </w:t>
      </w:r>
      <w:r w:rsidRPr="009231A3">
        <w:rPr>
          <w:color w:val="1D2129"/>
          <w:sz w:val="24"/>
          <w:szCs w:val="24"/>
        </w:rPr>
        <w:t>carta de intención confid</w:t>
      </w:r>
      <w:r>
        <w:rPr>
          <w:color w:val="1D2129"/>
          <w:sz w:val="24"/>
          <w:szCs w:val="24"/>
        </w:rPr>
        <w:t xml:space="preserve">encial entre ARSAT y la empresa </w:t>
      </w:r>
      <w:r w:rsidRPr="009231A3">
        <w:rPr>
          <w:color w:val="1D2129"/>
          <w:sz w:val="24"/>
          <w:szCs w:val="24"/>
        </w:rPr>
        <w:t xml:space="preserve">norteamericana Hughes para crear una nueva empresa con </w:t>
      </w:r>
      <w:r>
        <w:rPr>
          <w:color w:val="1D2129"/>
          <w:sz w:val="24"/>
          <w:szCs w:val="24"/>
        </w:rPr>
        <w:t>el 51% accionario en manos de Hughes</w:t>
      </w:r>
      <w:r w:rsidRPr="009231A3">
        <w:rPr>
          <w:color w:val="1D2129"/>
          <w:sz w:val="24"/>
          <w:szCs w:val="24"/>
        </w:rPr>
        <w:t>. En un nivel técnico y jurídico, Hughes se queda</w:t>
      </w:r>
      <w:r>
        <w:rPr>
          <w:color w:val="1D2129"/>
          <w:sz w:val="24"/>
          <w:szCs w:val="24"/>
        </w:rPr>
        <w:t>ría</w:t>
      </w:r>
      <w:r w:rsidRPr="009231A3">
        <w:rPr>
          <w:color w:val="1D2129"/>
          <w:sz w:val="24"/>
          <w:szCs w:val="24"/>
        </w:rPr>
        <w:t xml:space="preserve"> con el negocio de banda ancha. Dado que la carta de intención asume que el </w:t>
      </w:r>
      <w:r>
        <w:rPr>
          <w:color w:val="1D2129"/>
          <w:sz w:val="24"/>
          <w:szCs w:val="24"/>
        </w:rPr>
        <w:t>ARSAT-3 se ubicaría</w:t>
      </w:r>
      <w:r w:rsidRPr="009231A3">
        <w:rPr>
          <w:color w:val="1D2129"/>
          <w:sz w:val="24"/>
          <w:szCs w:val="24"/>
        </w:rPr>
        <w:t xml:space="preserve"> en una posición orbital argentina, es inevitable concluir que una parte de este patrimonio público se transfiere a la empresa norteamericana. </w:t>
      </w:r>
      <w:r>
        <w:rPr>
          <w:color w:val="1D2129"/>
          <w:sz w:val="24"/>
          <w:szCs w:val="24"/>
        </w:rPr>
        <w:t xml:space="preserve">Dado que </w:t>
      </w:r>
      <w:r w:rsidRPr="009231A3">
        <w:rPr>
          <w:color w:val="1D2129"/>
          <w:sz w:val="24"/>
          <w:szCs w:val="24"/>
        </w:rPr>
        <w:t>hay cambio de disponibilidad de la posición o</w:t>
      </w:r>
      <w:r>
        <w:rPr>
          <w:color w:val="1D2129"/>
          <w:sz w:val="24"/>
          <w:szCs w:val="24"/>
        </w:rPr>
        <w:t>rbital, si se concretara lo afirmado en la carta de intención, se estaría violando el artículo 10 de la L</w:t>
      </w:r>
      <w:r w:rsidRPr="009231A3">
        <w:rPr>
          <w:color w:val="1D2129"/>
          <w:sz w:val="24"/>
          <w:szCs w:val="24"/>
        </w:rPr>
        <w:t>ey 27.208 de promoción de la industria satelital.</w:t>
      </w:r>
    </w:p>
    <w:p w:rsidR="00E37579" w:rsidRPr="00430ED1" w:rsidRDefault="00E37579" w:rsidP="002C03A8">
      <w:pPr>
        <w:tabs>
          <w:tab w:val="left" w:pos="851"/>
        </w:tabs>
        <w:spacing w:after="120" w:line="360" w:lineRule="auto"/>
        <w:rPr>
          <w:rFonts w:eastAsia="Times New Roman"/>
          <w:sz w:val="24"/>
          <w:szCs w:val="24"/>
        </w:rPr>
      </w:pPr>
      <w:r>
        <w:rPr>
          <w:color w:val="1D2129"/>
          <w:sz w:val="24"/>
          <w:szCs w:val="24"/>
        </w:rPr>
        <w:t>En el</w:t>
      </w:r>
      <w:r w:rsidRPr="00430ED1">
        <w:rPr>
          <w:color w:val="1D2129"/>
          <w:sz w:val="24"/>
          <w:szCs w:val="24"/>
        </w:rPr>
        <w:t xml:space="preserve"> nivel de</w:t>
      </w:r>
      <w:r>
        <w:rPr>
          <w:color w:val="1D2129"/>
          <w:sz w:val="24"/>
          <w:szCs w:val="24"/>
        </w:rPr>
        <w:t xml:space="preserve"> políticas tecnológica e industrial,</w:t>
      </w:r>
      <w:r w:rsidRPr="00430ED1">
        <w:rPr>
          <w:color w:val="1D2129"/>
          <w:sz w:val="24"/>
          <w:szCs w:val="24"/>
        </w:rPr>
        <w:t xml:space="preserve"> si</w:t>
      </w:r>
      <w:r>
        <w:rPr>
          <w:color w:val="1D2129"/>
          <w:sz w:val="24"/>
          <w:szCs w:val="24"/>
        </w:rPr>
        <w:t xml:space="preserve"> bien</w:t>
      </w:r>
      <w:r w:rsidRPr="00430ED1">
        <w:rPr>
          <w:color w:val="1D2129"/>
          <w:sz w:val="24"/>
          <w:szCs w:val="24"/>
        </w:rPr>
        <w:t xml:space="preserve"> INVAP </w:t>
      </w:r>
      <w:r>
        <w:rPr>
          <w:color w:val="1D2129"/>
          <w:sz w:val="24"/>
          <w:szCs w:val="24"/>
        </w:rPr>
        <w:t xml:space="preserve">sigue a cargo de </w:t>
      </w:r>
      <w:r w:rsidRPr="00430ED1">
        <w:rPr>
          <w:color w:val="1D2129"/>
          <w:sz w:val="24"/>
          <w:szCs w:val="24"/>
        </w:rPr>
        <w:t xml:space="preserve">la construcción del </w:t>
      </w:r>
      <w:r>
        <w:rPr>
          <w:color w:val="1D2129"/>
          <w:sz w:val="24"/>
          <w:szCs w:val="24"/>
        </w:rPr>
        <w:t>ARSAT-</w:t>
      </w:r>
      <w:r w:rsidRPr="00430ED1">
        <w:rPr>
          <w:color w:val="1D2129"/>
          <w:sz w:val="24"/>
          <w:szCs w:val="24"/>
        </w:rPr>
        <w:t>3,</w:t>
      </w:r>
      <w:r>
        <w:rPr>
          <w:color w:val="1D2129"/>
          <w:sz w:val="24"/>
          <w:szCs w:val="24"/>
        </w:rPr>
        <w:t xml:space="preserve"> la carta de intención supone la clausura de una política de Estado que presentaba</w:t>
      </w:r>
      <w:r w:rsidRPr="00430ED1">
        <w:rPr>
          <w:color w:val="1D2129"/>
          <w:sz w:val="24"/>
          <w:szCs w:val="24"/>
        </w:rPr>
        <w:t xml:space="preserve"> una concepción sistémica de</w:t>
      </w:r>
      <w:r>
        <w:rPr>
          <w:color w:val="1D2129"/>
          <w:sz w:val="24"/>
          <w:szCs w:val="24"/>
        </w:rPr>
        <w:t xml:space="preserve"> componentes geopolíticos, económicos, empresariales y científico-tecnológicos</w:t>
      </w:r>
      <w:r w:rsidRPr="00430ED1">
        <w:rPr>
          <w:color w:val="1D2129"/>
          <w:sz w:val="24"/>
          <w:szCs w:val="24"/>
        </w:rPr>
        <w:t xml:space="preserve">: </w:t>
      </w:r>
      <w:r>
        <w:rPr>
          <w:color w:val="1D2129"/>
          <w:sz w:val="24"/>
          <w:szCs w:val="24"/>
        </w:rPr>
        <w:t xml:space="preserve">ampliación futura del número de posiciones orbitales asignadas por la UIT a Argentina, </w:t>
      </w:r>
      <w:r w:rsidRPr="00430ED1">
        <w:rPr>
          <w:color w:val="1D2129"/>
          <w:sz w:val="24"/>
          <w:szCs w:val="24"/>
        </w:rPr>
        <w:t>servicios satelitales</w:t>
      </w:r>
      <w:r>
        <w:rPr>
          <w:color w:val="1D2129"/>
          <w:sz w:val="24"/>
          <w:szCs w:val="24"/>
        </w:rPr>
        <w:t xml:space="preserve"> al mercado local y regional</w:t>
      </w:r>
      <w:r w:rsidRPr="00430ED1">
        <w:rPr>
          <w:color w:val="1D2129"/>
          <w:sz w:val="24"/>
          <w:szCs w:val="24"/>
        </w:rPr>
        <w:t xml:space="preserve">, desarrollo </w:t>
      </w:r>
      <w:r>
        <w:rPr>
          <w:color w:val="1D2129"/>
          <w:sz w:val="24"/>
          <w:szCs w:val="24"/>
        </w:rPr>
        <w:t xml:space="preserve">incremental de tecnologías para la producción de </w:t>
      </w:r>
      <w:r w:rsidRPr="00430ED1">
        <w:rPr>
          <w:color w:val="1D2129"/>
          <w:sz w:val="24"/>
          <w:szCs w:val="24"/>
        </w:rPr>
        <w:t xml:space="preserve">satélites, procesos de transferencia de tecnología, formación de proveedores nacionales y de recursos humanos calificados. </w:t>
      </w:r>
      <w:r>
        <w:rPr>
          <w:color w:val="1D2129"/>
          <w:sz w:val="24"/>
          <w:szCs w:val="24"/>
        </w:rPr>
        <w:t>Desde esta perspectiva</w:t>
      </w:r>
      <w:r w:rsidRPr="00430ED1">
        <w:rPr>
          <w:color w:val="1D2129"/>
          <w:sz w:val="24"/>
          <w:szCs w:val="24"/>
        </w:rPr>
        <w:t>, la soberanía satelital resulta</w:t>
      </w:r>
      <w:r>
        <w:rPr>
          <w:color w:val="1D2129"/>
          <w:sz w:val="24"/>
          <w:szCs w:val="24"/>
        </w:rPr>
        <w:t>ba</w:t>
      </w:r>
      <w:r w:rsidRPr="00430ED1">
        <w:rPr>
          <w:color w:val="1D2129"/>
          <w:sz w:val="24"/>
          <w:szCs w:val="24"/>
        </w:rPr>
        <w:t xml:space="preserve"> una variable clave para resguardar la capacidad de tomar decisiones autónomas acerca de cómo maximizar los beneficios económicos y sociales.</w:t>
      </w:r>
    </w:p>
    <w:p w:rsidR="00E37579" w:rsidRPr="005A20A7" w:rsidRDefault="00E37579" w:rsidP="005A20A7">
      <w:pPr>
        <w:tabs>
          <w:tab w:val="left" w:pos="851"/>
        </w:tabs>
        <w:spacing w:after="120" w:line="360" w:lineRule="auto"/>
        <w:rPr>
          <w:rFonts w:eastAsia="Times New Roman"/>
          <w:sz w:val="24"/>
          <w:szCs w:val="24"/>
        </w:rPr>
      </w:pPr>
      <w:r>
        <w:rPr>
          <w:rFonts w:eastAsia="Times New Roman"/>
          <w:sz w:val="24"/>
          <w:szCs w:val="24"/>
        </w:rPr>
        <w:t>El desmembramiento y cam</w:t>
      </w:r>
      <w:r w:rsidR="003605F1">
        <w:rPr>
          <w:rFonts w:eastAsia="Times New Roman"/>
          <w:sz w:val="24"/>
          <w:szCs w:val="24"/>
        </w:rPr>
        <w:t>bio de rumbo de la empresa ARSAT</w:t>
      </w:r>
      <w:r>
        <w:rPr>
          <w:rFonts w:eastAsia="Times New Roman"/>
          <w:sz w:val="24"/>
          <w:szCs w:val="24"/>
        </w:rPr>
        <w:t xml:space="preserve"> y la búsqueda de socios extranjeros coincide con un acelerado proceso de desindustrialización, el desmantelamiento de otros sectores estratégicos –producción pública de medicamentos, agricultura familiar, energía eólica, algunos proyectos del sector nuclear, entre los más visibles– y el desfinanciamiento del sector público de ciencia y tecnología.</w:t>
      </w:r>
    </w:p>
    <w:p w:rsidR="00E37579" w:rsidRDefault="00E37579" w:rsidP="00635862">
      <w:pPr>
        <w:spacing w:after="0" w:line="240" w:lineRule="auto"/>
        <w:jc w:val="left"/>
        <w:rPr>
          <w:rFonts w:eastAsia="Times New Roman"/>
          <w:b/>
          <w:kern w:val="0"/>
          <w:sz w:val="24"/>
          <w:szCs w:val="24"/>
          <w:lang w:eastAsia="en-US"/>
        </w:rPr>
      </w:pPr>
    </w:p>
    <w:p w:rsidR="00E37579" w:rsidRDefault="00E37579" w:rsidP="00635862">
      <w:pPr>
        <w:spacing w:after="0" w:line="240" w:lineRule="auto"/>
        <w:jc w:val="left"/>
        <w:rPr>
          <w:rFonts w:eastAsia="Times New Roman"/>
          <w:b/>
          <w:kern w:val="0"/>
          <w:sz w:val="24"/>
          <w:szCs w:val="24"/>
          <w:lang w:eastAsia="en-US"/>
        </w:rPr>
      </w:pPr>
      <w:r>
        <w:rPr>
          <w:rFonts w:eastAsia="Times New Roman"/>
          <w:b/>
          <w:kern w:val="0"/>
          <w:sz w:val="24"/>
          <w:szCs w:val="24"/>
          <w:lang w:eastAsia="en-US"/>
        </w:rPr>
        <w:t xml:space="preserve">A modo de conclusión </w:t>
      </w:r>
    </w:p>
    <w:p w:rsidR="00E37579" w:rsidRPr="00635862" w:rsidRDefault="00E37579" w:rsidP="00635862">
      <w:pPr>
        <w:spacing w:after="0" w:line="240" w:lineRule="auto"/>
        <w:jc w:val="left"/>
        <w:rPr>
          <w:rFonts w:eastAsia="Times New Roman"/>
          <w:b/>
          <w:kern w:val="0"/>
          <w:sz w:val="24"/>
          <w:szCs w:val="24"/>
          <w:lang w:eastAsia="en-US"/>
        </w:rPr>
      </w:pPr>
    </w:p>
    <w:p w:rsidR="00E31FEF" w:rsidRDefault="002B7F0C" w:rsidP="004860D8">
      <w:pPr>
        <w:pStyle w:val="Predeterminado"/>
        <w:spacing w:line="360" w:lineRule="auto"/>
        <w:jc w:val="both"/>
        <w:rPr>
          <w:rFonts w:hAnsi="Times New Roman"/>
          <w:lang w:val="es-AR"/>
        </w:rPr>
      </w:pPr>
      <w:r>
        <w:rPr>
          <w:rFonts w:hAnsi="Times New Roman"/>
          <w:lang w:val="es-AR"/>
        </w:rPr>
        <w:t xml:space="preserve">Para los países desarrollados, claramente desde la Segunda Guerra Mundial en adelante, la ciencia y la tecnología son activos estratégicos. La soberanía política que exhiben estos Estados está ligada al desarrollo de la ciencia, la tecnología y la innovación. Estos Estados tienen poder e influencia y sus ciudadanos reciben los beneficios socioeconómicos que resultan de los esfuerzos que hacen sus Estados en esos activos estratégicos. </w:t>
      </w:r>
      <w:r w:rsidR="00E37579" w:rsidRPr="00BA58F0">
        <w:rPr>
          <w:rFonts w:hAnsi="Times New Roman"/>
          <w:lang w:val="es-AR"/>
        </w:rPr>
        <w:t>El Estado</w:t>
      </w:r>
      <w:r>
        <w:rPr>
          <w:rFonts w:hAnsi="Times New Roman"/>
          <w:lang w:val="es-AR"/>
        </w:rPr>
        <w:t xml:space="preserve">, a través de políticas públicas, estables en el tiempo y ligadas a los </w:t>
      </w:r>
      <w:r w:rsidR="00326375">
        <w:rPr>
          <w:rFonts w:hAnsi="Times New Roman"/>
          <w:lang w:val="es-AR"/>
        </w:rPr>
        <w:t>intere</w:t>
      </w:r>
      <w:r>
        <w:rPr>
          <w:rFonts w:hAnsi="Times New Roman"/>
          <w:lang w:val="es-AR"/>
        </w:rPr>
        <w:t>s</w:t>
      </w:r>
      <w:r w:rsidR="00326375">
        <w:rPr>
          <w:rFonts w:hAnsi="Times New Roman"/>
          <w:lang w:val="es-AR"/>
        </w:rPr>
        <w:t>es</w:t>
      </w:r>
      <w:r>
        <w:rPr>
          <w:rFonts w:hAnsi="Times New Roman"/>
          <w:lang w:val="es-AR"/>
        </w:rPr>
        <w:t xml:space="preserve"> nacionales, está directamente involucrado</w:t>
      </w:r>
      <w:r w:rsidR="00E37579" w:rsidRPr="00BA58F0">
        <w:rPr>
          <w:rFonts w:hAnsi="Times New Roman"/>
          <w:lang w:val="es-AR"/>
        </w:rPr>
        <w:t xml:space="preserve"> </w:t>
      </w:r>
      <w:r>
        <w:rPr>
          <w:rFonts w:hAnsi="Times New Roman"/>
          <w:lang w:val="es-AR"/>
        </w:rPr>
        <w:t xml:space="preserve">en el </w:t>
      </w:r>
      <w:r w:rsidR="00E37579" w:rsidRPr="00BA58F0">
        <w:rPr>
          <w:rFonts w:hAnsi="Times New Roman"/>
          <w:lang w:val="es-AR"/>
        </w:rPr>
        <w:t xml:space="preserve">desarrollo de la ciencia, la tecnología y las innovaciones. </w:t>
      </w:r>
      <w:r w:rsidR="00326375">
        <w:rPr>
          <w:rFonts w:hAnsi="Times New Roman"/>
          <w:lang w:val="es-AR"/>
        </w:rPr>
        <w:t>Lo estuvo y lo está aún hoy. En los países desarrollados esta es casi una verdad de Perogrullo, más allá de la retórica de los discursos.</w:t>
      </w:r>
      <w:r w:rsidR="00E31FEF" w:rsidRPr="00E31FEF">
        <w:rPr>
          <w:lang w:val="es-AR"/>
        </w:rPr>
        <w:t xml:space="preserve"> </w:t>
      </w:r>
      <w:r w:rsidR="00E31FEF" w:rsidRPr="00E31FEF">
        <w:rPr>
          <w:rFonts w:hAnsi="Times New Roman"/>
          <w:lang w:val="es-AR"/>
        </w:rPr>
        <w:t>Ni las fuerzas del mercado ni los actores privados podrían haber construido las condiciones suficientes para la aparición de desarrollos e innovaciones tecnológicas asociadas a empresas como Google y Apple</w:t>
      </w:r>
      <w:r w:rsidR="00E31FEF">
        <w:rPr>
          <w:rFonts w:hAnsi="Times New Roman"/>
          <w:lang w:val="es-AR"/>
        </w:rPr>
        <w:t>, por ejemplo</w:t>
      </w:r>
      <w:r w:rsidR="00E31FEF" w:rsidRPr="00E31FEF">
        <w:rPr>
          <w:rFonts w:hAnsi="Times New Roman"/>
          <w:lang w:val="es-AR"/>
        </w:rPr>
        <w:t xml:space="preserve">. El Estado ha sido activo no solamente en la promoción y el financiamiento de la investigación básica y aplicada, </w:t>
      </w:r>
      <w:r w:rsidR="00E31FEF" w:rsidRPr="00E31FEF">
        <w:rPr>
          <w:rFonts w:hAnsi="Times New Roman"/>
          <w:lang w:val="es-AR"/>
        </w:rPr>
        <w:lastRenderedPageBreak/>
        <w:t>sino también el tejido de la urdimbre necesaria para lograr la comercialización de los productos tecnológicos</w:t>
      </w:r>
      <w:r w:rsidR="00E31FEF">
        <w:rPr>
          <w:rFonts w:hAnsi="Times New Roman"/>
          <w:lang w:val="es-AR"/>
        </w:rPr>
        <w:t xml:space="preserve">. </w:t>
      </w:r>
      <w:r w:rsidR="00326375">
        <w:rPr>
          <w:rFonts w:hAnsi="Times New Roman"/>
          <w:lang w:val="es-AR"/>
        </w:rPr>
        <w:t>De hecho, en estos países</w:t>
      </w:r>
      <w:r w:rsidR="00E37579">
        <w:rPr>
          <w:rFonts w:hAnsi="Times New Roman"/>
          <w:lang w:val="es-AR"/>
        </w:rPr>
        <w:t xml:space="preserve">, la función de las sociedades de capital de riesgo es intervenir una vez que el Estado ha construido y ejecutado las condiciones que despejan significativamente la incertidumbre para la realización y comercialización de </w:t>
      </w:r>
      <w:r w:rsidR="00E31FEF">
        <w:rPr>
          <w:rFonts w:hAnsi="Times New Roman"/>
          <w:lang w:val="es-AR"/>
        </w:rPr>
        <w:t xml:space="preserve">las </w:t>
      </w:r>
      <w:r w:rsidR="00E37579">
        <w:rPr>
          <w:rFonts w:hAnsi="Times New Roman"/>
          <w:lang w:val="es-AR"/>
        </w:rPr>
        <w:t>innovaciones</w:t>
      </w:r>
      <w:r w:rsidR="00326375">
        <w:rPr>
          <w:rFonts w:hAnsi="Times New Roman"/>
          <w:lang w:val="es-AR"/>
        </w:rPr>
        <w:t>, resultado</w:t>
      </w:r>
      <w:r w:rsidR="00E31FEF">
        <w:rPr>
          <w:rFonts w:hAnsi="Times New Roman"/>
          <w:lang w:val="es-AR"/>
        </w:rPr>
        <w:t>s</w:t>
      </w:r>
      <w:r w:rsidR="00326375">
        <w:rPr>
          <w:rFonts w:hAnsi="Times New Roman"/>
          <w:lang w:val="es-AR"/>
        </w:rPr>
        <w:t xml:space="preserve"> de los grandes esfuerzos públicos en ciencia y tecnología (</w:t>
      </w:r>
      <w:proofErr w:type="spellStart"/>
      <w:r w:rsidR="00326375">
        <w:rPr>
          <w:rFonts w:hAnsi="Times New Roman"/>
          <w:lang w:val="es-AR"/>
        </w:rPr>
        <w:t>Mazzucato</w:t>
      </w:r>
      <w:proofErr w:type="spellEnd"/>
      <w:r w:rsidR="00326375">
        <w:rPr>
          <w:rFonts w:hAnsi="Times New Roman"/>
          <w:lang w:val="es-AR"/>
        </w:rPr>
        <w:t>, 2016)</w:t>
      </w:r>
      <w:r w:rsidR="00E37579">
        <w:rPr>
          <w:rFonts w:hAnsi="Times New Roman"/>
          <w:lang w:val="es-AR"/>
        </w:rPr>
        <w:t xml:space="preserve">. </w:t>
      </w:r>
      <w:r w:rsidR="00E31FEF">
        <w:rPr>
          <w:rFonts w:hAnsi="Times New Roman"/>
          <w:lang w:val="es-AR"/>
        </w:rPr>
        <w:t>Así, l</w:t>
      </w:r>
      <w:r w:rsidR="00E37579">
        <w:rPr>
          <w:rFonts w:hAnsi="Times New Roman"/>
          <w:lang w:val="es-AR"/>
        </w:rPr>
        <w:t>os emprendedores llegan a escena cuando la fruta está madura</w:t>
      </w:r>
      <w:r w:rsidR="00326375">
        <w:rPr>
          <w:rFonts w:hAnsi="Times New Roman"/>
          <w:lang w:val="es-AR"/>
        </w:rPr>
        <w:t>, nunca antes</w:t>
      </w:r>
      <w:r w:rsidR="00E37579">
        <w:rPr>
          <w:rFonts w:hAnsi="Times New Roman"/>
          <w:lang w:val="es-AR"/>
        </w:rPr>
        <w:t xml:space="preserve">. </w:t>
      </w:r>
    </w:p>
    <w:p w:rsidR="00C13631" w:rsidRDefault="00E37579" w:rsidP="004860D8">
      <w:pPr>
        <w:pStyle w:val="Predeterminado"/>
        <w:spacing w:line="360" w:lineRule="auto"/>
        <w:jc w:val="both"/>
        <w:rPr>
          <w:rFonts w:hAnsi="Times New Roman"/>
          <w:lang w:val="es-AR"/>
        </w:rPr>
      </w:pPr>
      <w:r>
        <w:rPr>
          <w:rFonts w:hAnsi="Times New Roman"/>
          <w:lang w:val="es-AR"/>
        </w:rPr>
        <w:t xml:space="preserve">La lección de los países desarrollados es que sin políticas de Estados en ciencia y tecnología, atadas a la promoción del bienestar social y económico de sus ciudadanos, no hay realización de innovaciones que apuntalen el desarrollo de una sociedad. </w:t>
      </w:r>
      <w:r w:rsidR="00326375">
        <w:rPr>
          <w:rFonts w:hAnsi="Times New Roman"/>
          <w:lang w:val="es-AR"/>
        </w:rPr>
        <w:t xml:space="preserve">Sin este esfuerzo activo, el crecimiento socioeconómico es una quimera en la sociedad actual del conocimiento. </w:t>
      </w:r>
      <w:r>
        <w:rPr>
          <w:rFonts w:hAnsi="Times New Roman"/>
          <w:lang w:val="es-AR"/>
        </w:rPr>
        <w:t xml:space="preserve">El corolario es sencillo: un ejército de talentosos emprendedores no sustituye a una política de Estado. Cuando se afirma lo contrario, se piensa y se elabora el futuro con la experiencia </w:t>
      </w:r>
      <w:r w:rsidR="00326375">
        <w:rPr>
          <w:rFonts w:hAnsi="Times New Roman"/>
          <w:lang w:val="es-AR"/>
        </w:rPr>
        <w:t xml:space="preserve">histórica, pasada y reciente, </w:t>
      </w:r>
      <w:r>
        <w:rPr>
          <w:rFonts w:hAnsi="Times New Roman"/>
          <w:lang w:val="es-AR"/>
        </w:rPr>
        <w:t>por delante. Entender este corolario es aprehender la naturaleza única</w:t>
      </w:r>
      <w:r w:rsidR="00E31FEF">
        <w:rPr>
          <w:rFonts w:hAnsi="Times New Roman"/>
          <w:lang w:val="es-AR"/>
        </w:rPr>
        <w:t xml:space="preserve"> que tiene el sector público</w:t>
      </w:r>
      <w:r>
        <w:rPr>
          <w:rFonts w:hAnsi="Times New Roman"/>
          <w:lang w:val="es-AR"/>
        </w:rPr>
        <w:t>, por su capacidad de desplegar una visión y ejecuta</w:t>
      </w:r>
      <w:r w:rsidR="00E31FEF">
        <w:rPr>
          <w:rFonts w:hAnsi="Times New Roman"/>
          <w:lang w:val="es-AR"/>
        </w:rPr>
        <w:t>r</w:t>
      </w:r>
      <w:r w:rsidR="00DC5F84">
        <w:rPr>
          <w:rFonts w:hAnsi="Times New Roman"/>
          <w:lang w:val="es-AR"/>
        </w:rPr>
        <w:t xml:space="preserve">la, al </w:t>
      </w:r>
      <w:r>
        <w:rPr>
          <w:rFonts w:hAnsi="Times New Roman"/>
          <w:lang w:val="es-AR"/>
        </w:rPr>
        <w:t>cristaliza</w:t>
      </w:r>
      <w:r w:rsidR="00DC5F84">
        <w:rPr>
          <w:rFonts w:hAnsi="Times New Roman"/>
          <w:lang w:val="es-AR"/>
        </w:rPr>
        <w:t>r</w:t>
      </w:r>
      <w:r>
        <w:rPr>
          <w:rFonts w:hAnsi="Times New Roman"/>
          <w:lang w:val="es-AR"/>
        </w:rPr>
        <w:t xml:space="preserve"> </w:t>
      </w:r>
      <w:r w:rsidR="00DC5F84">
        <w:rPr>
          <w:rFonts w:hAnsi="Times New Roman"/>
          <w:lang w:val="es-AR"/>
        </w:rPr>
        <w:t>la búsqueda d</w:t>
      </w:r>
      <w:r>
        <w:rPr>
          <w:rFonts w:hAnsi="Times New Roman"/>
          <w:lang w:val="es-AR"/>
        </w:rPr>
        <w:t>el bienestar de todos sus ciudadanos como interés nacional. En ciencia, tecnología e innovación esto ocurre cuando se despliegan política</w:t>
      </w:r>
      <w:r w:rsidR="00C13631">
        <w:rPr>
          <w:rFonts w:hAnsi="Times New Roman"/>
          <w:lang w:val="es-AR"/>
        </w:rPr>
        <w:t>s</w:t>
      </w:r>
      <w:r>
        <w:rPr>
          <w:rFonts w:hAnsi="Times New Roman"/>
          <w:lang w:val="es-AR"/>
        </w:rPr>
        <w:t xml:space="preserve"> de Estado orientadas a una misión.</w:t>
      </w:r>
      <w:r w:rsidR="00C13631">
        <w:rPr>
          <w:rFonts w:hAnsi="Times New Roman"/>
          <w:lang w:val="es-AR"/>
        </w:rPr>
        <w:t xml:space="preserve"> </w:t>
      </w:r>
    </w:p>
    <w:p w:rsidR="00E37579" w:rsidRDefault="00C13631" w:rsidP="004860D8">
      <w:pPr>
        <w:pStyle w:val="Predeterminado"/>
        <w:spacing w:line="360" w:lineRule="auto"/>
        <w:jc w:val="both"/>
        <w:rPr>
          <w:rFonts w:hAnsi="Times New Roman"/>
          <w:lang w:val="es-AR"/>
        </w:rPr>
      </w:pPr>
      <w:r>
        <w:rPr>
          <w:rFonts w:hAnsi="Times New Roman"/>
          <w:lang w:val="es-AR"/>
        </w:rPr>
        <w:t>En este trabajo hemos descripto, a través de grandes pinceladas históricas, como el Estado se constituy</w:t>
      </w:r>
      <w:r w:rsidR="00934CDC">
        <w:rPr>
          <w:rFonts w:hAnsi="Times New Roman"/>
          <w:lang w:val="es-AR"/>
        </w:rPr>
        <w:t xml:space="preserve">e en un motor y articulador </w:t>
      </w:r>
      <w:r>
        <w:rPr>
          <w:rFonts w:hAnsi="Times New Roman"/>
          <w:lang w:val="es-AR"/>
        </w:rPr>
        <w:t xml:space="preserve">de la política científica y tecnológica. Nuestra región latinoamericana es pródiga </w:t>
      </w:r>
      <w:r w:rsidR="00934CDC">
        <w:rPr>
          <w:rFonts w:hAnsi="Times New Roman"/>
          <w:lang w:val="es-AR"/>
        </w:rPr>
        <w:t>en ideas</w:t>
      </w:r>
      <w:r w:rsidR="00D3245F">
        <w:rPr>
          <w:rFonts w:hAnsi="Times New Roman"/>
          <w:lang w:val="es-AR"/>
        </w:rPr>
        <w:t>,</w:t>
      </w:r>
      <w:r w:rsidR="00934CDC">
        <w:rPr>
          <w:rFonts w:hAnsi="Times New Roman"/>
          <w:lang w:val="es-AR"/>
        </w:rPr>
        <w:t xml:space="preserve"> propuestas </w:t>
      </w:r>
      <w:r w:rsidR="00D3245F">
        <w:rPr>
          <w:rFonts w:hAnsi="Times New Roman"/>
          <w:lang w:val="es-AR"/>
        </w:rPr>
        <w:t>y experiencias en esta dirección. Es más, como nos enseñó Sábato, la naturaleza intrínseca de la tecnología demanda una política científica y tecnológica con el rango de política de Estado.</w:t>
      </w:r>
      <w:r w:rsidR="003E76CC">
        <w:rPr>
          <w:rFonts w:hAnsi="Times New Roman"/>
          <w:lang w:val="es-AR"/>
        </w:rPr>
        <w:t xml:space="preserve"> El caso ARSAT ejemplifica bien esta demanda; al mismo tiempo nos sitúa frente a </w:t>
      </w:r>
      <w:r w:rsidR="00DC5F84">
        <w:rPr>
          <w:rFonts w:hAnsi="Times New Roman"/>
          <w:lang w:val="es-AR"/>
        </w:rPr>
        <w:t>los obstáculos que se enfrentan.</w:t>
      </w:r>
      <w:r w:rsidR="00B60056">
        <w:rPr>
          <w:rFonts w:hAnsi="Times New Roman"/>
          <w:lang w:val="es-AR"/>
        </w:rPr>
        <w:t xml:space="preserve"> </w:t>
      </w:r>
      <w:r w:rsidR="00934CDC">
        <w:rPr>
          <w:rFonts w:hAnsi="Times New Roman"/>
          <w:lang w:val="es-AR"/>
        </w:rPr>
        <w:t xml:space="preserve"> </w:t>
      </w:r>
      <w:r w:rsidR="00E37579">
        <w:rPr>
          <w:rFonts w:hAnsi="Times New Roman"/>
          <w:lang w:val="es-AR"/>
        </w:rPr>
        <w:t xml:space="preserve"> </w:t>
      </w:r>
    </w:p>
    <w:p w:rsidR="00E37579" w:rsidRPr="00C95E16" w:rsidRDefault="00E37579" w:rsidP="00E90A58">
      <w:pPr>
        <w:pStyle w:val="Predeterminado"/>
        <w:spacing w:line="360" w:lineRule="auto"/>
        <w:jc w:val="both"/>
        <w:rPr>
          <w:rStyle w:val="A2"/>
          <w:rFonts w:hAnsi="Times New Roman"/>
          <w:sz w:val="24"/>
          <w:szCs w:val="24"/>
          <w:lang w:val="es-AR"/>
        </w:rPr>
      </w:pPr>
      <w:r>
        <w:rPr>
          <w:rFonts w:hAnsi="Times New Roman"/>
          <w:lang w:val="es-AR"/>
        </w:rPr>
        <w:t>El desarrollo naciona</w:t>
      </w:r>
      <w:r w:rsidR="00B60056">
        <w:rPr>
          <w:rFonts w:hAnsi="Times New Roman"/>
          <w:lang w:val="es-AR"/>
        </w:rPr>
        <w:t xml:space="preserve">l de satélites geoestacionarios es un intento de conformar una política de Estado. </w:t>
      </w:r>
      <w:r w:rsidRPr="005A5FB0">
        <w:rPr>
          <w:rFonts w:hAnsi="Times New Roman"/>
          <w:szCs w:val="24"/>
          <w:lang w:val="es-AR"/>
        </w:rPr>
        <w:t xml:space="preserve">ARSAT </w:t>
      </w:r>
      <w:r>
        <w:rPr>
          <w:rFonts w:hAnsi="Times New Roman"/>
          <w:szCs w:val="24"/>
          <w:lang w:val="es-AR"/>
        </w:rPr>
        <w:t>es un caso exitoso de desarrollo tecnológico fronteras adentro en un sector estratégico para un país en desarrollo. En este caso</w:t>
      </w:r>
      <w:r w:rsidR="00B60056">
        <w:rPr>
          <w:rFonts w:hAnsi="Times New Roman"/>
          <w:szCs w:val="24"/>
          <w:lang w:val="es-AR"/>
        </w:rPr>
        <w:t>,</w:t>
      </w:r>
      <w:r w:rsidR="00DC5F84">
        <w:rPr>
          <w:rFonts w:hAnsi="Times New Roman"/>
          <w:szCs w:val="24"/>
          <w:lang w:val="es-AR"/>
        </w:rPr>
        <w:t xml:space="preserve"> el Estado no interviene</w:t>
      </w:r>
      <w:r>
        <w:rPr>
          <w:rFonts w:hAnsi="Times New Roman"/>
          <w:szCs w:val="24"/>
          <w:lang w:val="es-AR"/>
        </w:rPr>
        <w:t xml:space="preserve"> para corregir “fallas de mercado”; en las antípodas de</w:t>
      </w:r>
      <w:r w:rsidR="00DC5F84">
        <w:rPr>
          <w:rFonts w:hAnsi="Times New Roman"/>
          <w:szCs w:val="24"/>
          <w:lang w:val="es-AR"/>
        </w:rPr>
        <w:t xml:space="preserve"> esta idea, el Estado interviene activamente</w:t>
      </w:r>
      <w:r>
        <w:rPr>
          <w:rFonts w:hAnsi="Times New Roman"/>
          <w:szCs w:val="24"/>
          <w:lang w:val="es-AR"/>
        </w:rPr>
        <w:t xml:space="preserve"> con una visión y una misión: promover y ejecutar un sendero de desarrollo científico y tecnológico que construya la trama para que actores privados y públicos produzcan innovaciones, acumulen capacidades y generen beneficios con impactos tangibles en la sociedad, </w:t>
      </w:r>
      <w:r w:rsidR="00DC5F84">
        <w:rPr>
          <w:rFonts w:hAnsi="Times New Roman"/>
          <w:szCs w:val="24"/>
          <w:lang w:val="es-AR"/>
        </w:rPr>
        <w:t xml:space="preserve">que van </w:t>
      </w:r>
      <w:r>
        <w:rPr>
          <w:rFonts w:hAnsi="Times New Roman"/>
          <w:szCs w:val="24"/>
          <w:lang w:val="es-AR"/>
        </w:rPr>
        <w:t xml:space="preserve">desde la generación de empleos de calidad hasta la mejora de la balanza comercial. </w:t>
      </w:r>
    </w:p>
    <w:p w:rsidR="00E37579" w:rsidRDefault="00E37579" w:rsidP="00056FF8">
      <w:pPr>
        <w:pStyle w:val="Predeterminado"/>
        <w:spacing w:line="360" w:lineRule="auto"/>
        <w:jc w:val="both"/>
        <w:rPr>
          <w:rFonts w:hAnsi="Times New Roman"/>
          <w:lang w:val="es-AR"/>
        </w:rPr>
      </w:pPr>
      <w:r>
        <w:rPr>
          <w:rFonts w:hAnsi="Times New Roman"/>
          <w:lang w:val="es-AR"/>
        </w:rPr>
        <w:t xml:space="preserve">En particular, ARSAT no solamente </w:t>
      </w:r>
      <w:r w:rsidR="00F630BA">
        <w:rPr>
          <w:rFonts w:hAnsi="Times New Roman"/>
          <w:lang w:val="es-AR"/>
        </w:rPr>
        <w:t>ha significado</w:t>
      </w:r>
      <w:r>
        <w:rPr>
          <w:rFonts w:hAnsi="Times New Roman"/>
          <w:lang w:val="es-AR"/>
        </w:rPr>
        <w:t xml:space="preserve"> la </w:t>
      </w:r>
      <w:r w:rsidRPr="00BA58F0">
        <w:rPr>
          <w:rFonts w:hAnsi="Times New Roman"/>
          <w:lang w:val="es-AR"/>
        </w:rPr>
        <w:t xml:space="preserve">adquisición de conocimientos </w:t>
      </w:r>
      <w:r>
        <w:rPr>
          <w:rFonts w:hAnsi="Times New Roman"/>
          <w:lang w:val="es-AR"/>
        </w:rPr>
        <w:t xml:space="preserve">para el desarrollo local de </w:t>
      </w:r>
      <w:r w:rsidRPr="00BA58F0">
        <w:rPr>
          <w:rFonts w:hAnsi="Times New Roman"/>
          <w:lang w:val="es-AR"/>
        </w:rPr>
        <w:t>satélites geoestacionarios</w:t>
      </w:r>
      <w:r w:rsidR="00B60056">
        <w:rPr>
          <w:rFonts w:hAnsi="Times New Roman"/>
          <w:lang w:val="es-AR"/>
        </w:rPr>
        <w:t xml:space="preserve">; </w:t>
      </w:r>
      <w:r w:rsidR="00F630BA">
        <w:rPr>
          <w:rFonts w:hAnsi="Times New Roman"/>
          <w:lang w:val="es-AR"/>
        </w:rPr>
        <w:t xml:space="preserve">tampoco se ha limitado </w:t>
      </w:r>
      <w:r w:rsidR="00B60056">
        <w:rPr>
          <w:rFonts w:hAnsi="Times New Roman"/>
          <w:lang w:val="es-AR"/>
        </w:rPr>
        <w:t>a la</w:t>
      </w:r>
      <w:r w:rsidRPr="00BA58F0">
        <w:rPr>
          <w:rFonts w:hAnsi="Times New Roman"/>
          <w:lang w:val="es-AR"/>
        </w:rPr>
        <w:t xml:space="preserve"> </w:t>
      </w:r>
      <w:r w:rsidR="00B60056">
        <w:rPr>
          <w:rFonts w:hAnsi="Times New Roman"/>
          <w:lang w:val="es-AR"/>
        </w:rPr>
        <w:t xml:space="preserve">generación de </w:t>
      </w:r>
      <w:r w:rsidRPr="00BA58F0">
        <w:rPr>
          <w:rFonts w:hAnsi="Times New Roman"/>
          <w:lang w:val="es-AR"/>
        </w:rPr>
        <w:t>capacidades tecnológicas. Un proyecto de semejante en</w:t>
      </w:r>
      <w:r>
        <w:rPr>
          <w:rFonts w:hAnsi="Times New Roman"/>
          <w:lang w:val="es-AR"/>
        </w:rPr>
        <w:t xml:space="preserve">vergadura y transversalidad </w:t>
      </w:r>
      <w:r w:rsidR="00F630BA">
        <w:rPr>
          <w:rFonts w:hAnsi="Times New Roman"/>
          <w:lang w:val="es-AR"/>
        </w:rPr>
        <w:t xml:space="preserve">ha </w:t>
      </w:r>
      <w:r>
        <w:rPr>
          <w:rFonts w:hAnsi="Times New Roman"/>
          <w:lang w:val="es-AR"/>
        </w:rPr>
        <w:t>depo</w:t>
      </w:r>
      <w:r w:rsidR="00F630BA">
        <w:rPr>
          <w:rFonts w:hAnsi="Times New Roman"/>
          <w:lang w:val="es-AR"/>
        </w:rPr>
        <w:t>sitado</w:t>
      </w:r>
      <w:r w:rsidRPr="00BA58F0">
        <w:rPr>
          <w:rFonts w:hAnsi="Times New Roman"/>
          <w:lang w:val="es-AR"/>
        </w:rPr>
        <w:t xml:space="preserve"> en los equipos </w:t>
      </w:r>
      <w:r w:rsidRPr="00BA58F0">
        <w:rPr>
          <w:rFonts w:hAnsi="Times New Roman"/>
          <w:lang w:val="es-AR"/>
        </w:rPr>
        <w:lastRenderedPageBreak/>
        <w:t xml:space="preserve">técnicos aprendizajes en la relación comercial con grandes operadores satelitales, que son proveedores de tecnología, así como en la interacción con otras empresas nacionales e instituciones públicas de I+D+i y con distintos organismos gubernamentales internacionales. </w:t>
      </w:r>
      <w:r w:rsidR="00B60056">
        <w:rPr>
          <w:rFonts w:hAnsi="Times New Roman"/>
          <w:lang w:val="es-AR"/>
        </w:rPr>
        <w:t xml:space="preserve">Para retomar los términos de los argumentos desarrollados en este trabajo, </w:t>
      </w:r>
      <w:r>
        <w:rPr>
          <w:rFonts w:hAnsi="Times New Roman"/>
          <w:lang w:val="es-AR"/>
        </w:rPr>
        <w:t xml:space="preserve">ARSAT </w:t>
      </w:r>
      <w:r w:rsidR="00F630BA">
        <w:rPr>
          <w:rFonts w:hAnsi="Times New Roman"/>
          <w:lang w:val="es-AR"/>
        </w:rPr>
        <w:t xml:space="preserve">ha articulado, </w:t>
      </w:r>
      <w:r w:rsidR="00B60056">
        <w:rPr>
          <w:rFonts w:hAnsi="Times New Roman"/>
          <w:lang w:val="es-AR"/>
        </w:rPr>
        <w:t xml:space="preserve">para usar el vocabulario de Sábato, </w:t>
      </w:r>
      <w:r>
        <w:rPr>
          <w:rFonts w:hAnsi="Times New Roman"/>
          <w:lang w:val="es-AR"/>
        </w:rPr>
        <w:t xml:space="preserve">un triángulo virtuoso. </w:t>
      </w:r>
    </w:p>
    <w:p w:rsidR="00E37579" w:rsidRPr="009C0D10" w:rsidRDefault="00B60056" w:rsidP="00A35945">
      <w:pPr>
        <w:pStyle w:val="Predeterminado"/>
        <w:spacing w:line="360" w:lineRule="auto"/>
        <w:jc w:val="both"/>
        <w:rPr>
          <w:rFonts w:hAnsi="Times New Roman"/>
          <w:lang w:val="es-AR"/>
        </w:rPr>
      </w:pPr>
      <w:r>
        <w:rPr>
          <w:rFonts w:hAnsi="Times New Roman"/>
          <w:lang w:val="es-AR"/>
        </w:rPr>
        <w:t xml:space="preserve">Una política de Estado se asienta sobre el compromiso de los diferentes actores políticos. </w:t>
      </w:r>
      <w:r w:rsidR="00F630BA">
        <w:rPr>
          <w:rFonts w:hAnsi="Times New Roman"/>
          <w:lang w:val="es-AR"/>
        </w:rPr>
        <w:t xml:space="preserve">Este compromiso se manifiesta naturalmente en el ámbito legislativo. </w:t>
      </w:r>
      <w:r w:rsidR="00E37579" w:rsidRPr="009C0D10">
        <w:rPr>
          <w:rFonts w:hAnsi="Times New Roman"/>
          <w:lang w:val="es-AR"/>
        </w:rPr>
        <w:t>En Noviembre de 2015 el Congreso Nacional aprobó por unanimidad la Ley de Desarrollo de la Industria Satelital (Ley 27.208), aún vigente.</w:t>
      </w:r>
      <w:r>
        <w:rPr>
          <w:rFonts w:hAnsi="Times New Roman"/>
          <w:lang w:val="es-AR"/>
        </w:rPr>
        <w:t xml:space="preserve"> Este hito marcó de manera explí</w:t>
      </w:r>
      <w:r w:rsidR="00E37579" w:rsidRPr="009C0D10">
        <w:rPr>
          <w:rFonts w:hAnsi="Times New Roman"/>
          <w:lang w:val="es-AR"/>
        </w:rPr>
        <w:t>cita el cambio de una polí</w:t>
      </w:r>
      <w:r w:rsidR="00E37579">
        <w:rPr>
          <w:rFonts w:hAnsi="Times New Roman"/>
          <w:lang w:val="es-AR"/>
        </w:rPr>
        <w:t>tica pública a una política de E</w:t>
      </w:r>
      <w:r w:rsidR="00E37579" w:rsidRPr="009C0D10">
        <w:rPr>
          <w:rFonts w:hAnsi="Times New Roman"/>
          <w:lang w:val="es-AR"/>
        </w:rPr>
        <w:t>stado.</w:t>
      </w:r>
      <w:r w:rsidR="00E37579">
        <w:rPr>
          <w:rFonts w:hAnsi="Times New Roman"/>
          <w:lang w:val="es-AR"/>
        </w:rPr>
        <w:t xml:space="preserve"> </w:t>
      </w:r>
      <w:r w:rsidR="00E37579" w:rsidRPr="009C0D10">
        <w:rPr>
          <w:rFonts w:hAnsi="Times New Roman"/>
          <w:lang w:val="es-AR"/>
        </w:rPr>
        <w:t>La ley de desarrollo satelital en su primer artículo dice: “Declárase de interés nacional el desarrollo de la industria satelital como política de Estado y de prioridad nacional, en lo que respecta a satélites geoestacionarios de telecomunicaciones.” Para en sus 2do y 3er artículo</w:t>
      </w:r>
      <w:r>
        <w:rPr>
          <w:rFonts w:hAnsi="Times New Roman"/>
          <w:lang w:val="es-AR"/>
        </w:rPr>
        <w:t>s</w:t>
      </w:r>
      <w:r w:rsidR="00E37579" w:rsidRPr="009C0D10">
        <w:rPr>
          <w:rFonts w:hAnsi="Times New Roman"/>
          <w:lang w:val="es-AR"/>
        </w:rPr>
        <w:t xml:space="preserve"> aprobar y </w:t>
      </w:r>
      <w:r>
        <w:rPr>
          <w:rFonts w:hAnsi="Times New Roman"/>
          <w:lang w:val="es-AR"/>
        </w:rPr>
        <w:t>declarar de interés público el “</w:t>
      </w:r>
      <w:r w:rsidR="00E37579" w:rsidRPr="009C0D10">
        <w:rPr>
          <w:rFonts w:hAnsi="Times New Roman"/>
          <w:lang w:val="es-AR"/>
        </w:rPr>
        <w:t>Plan Sate</w:t>
      </w:r>
      <w:r>
        <w:rPr>
          <w:rFonts w:hAnsi="Times New Roman"/>
          <w:lang w:val="es-AR"/>
        </w:rPr>
        <w:t>lital Geoestacionario 2015-2035”</w:t>
      </w:r>
      <w:r w:rsidR="00E37579" w:rsidRPr="009C0D10">
        <w:rPr>
          <w:rFonts w:hAnsi="Times New Roman"/>
          <w:lang w:val="es-AR"/>
        </w:rPr>
        <w:t>.</w:t>
      </w:r>
      <w:r w:rsidR="00E37579">
        <w:rPr>
          <w:rFonts w:hAnsi="Times New Roman"/>
          <w:lang w:val="es-AR"/>
        </w:rPr>
        <w:t xml:space="preserve">  </w:t>
      </w:r>
      <w:r w:rsidR="00E37579" w:rsidRPr="009C0D10">
        <w:rPr>
          <w:rFonts w:hAnsi="Times New Roman"/>
          <w:lang w:val="es-AR"/>
        </w:rPr>
        <w:t>Dicho Plan, incorporado como anexo en el texto de la ley, se basa en un concepto fundamental que es la necesidad de generar oportunidades para mantener la construcción de satélites en el tiempo.</w:t>
      </w:r>
      <w:r w:rsidR="00E37579">
        <w:rPr>
          <w:rFonts w:hAnsi="Times New Roman"/>
          <w:lang w:val="es-AR"/>
        </w:rPr>
        <w:t xml:space="preserve"> </w:t>
      </w:r>
      <w:r w:rsidR="00E37579" w:rsidRPr="009C0D10">
        <w:rPr>
          <w:rFonts w:hAnsi="Times New Roman"/>
          <w:lang w:val="es-AR"/>
        </w:rPr>
        <w:t>Una vez cumplida esa condición se definen 4 ejes de desarrollo:</w:t>
      </w:r>
      <w:r>
        <w:rPr>
          <w:rFonts w:hAnsi="Times New Roman"/>
          <w:lang w:val="es-AR"/>
        </w:rPr>
        <w:t xml:space="preserve">  </w:t>
      </w:r>
      <w:r>
        <w:rPr>
          <w:rFonts w:hAnsi="Times New Roman"/>
          <w:lang w:val="es-AR"/>
        </w:rPr>
        <w:tab/>
        <w:t xml:space="preserve">(a) </w:t>
      </w:r>
      <w:r w:rsidR="00E37579" w:rsidRPr="009C0D10">
        <w:rPr>
          <w:rFonts w:hAnsi="Times New Roman"/>
          <w:lang w:val="es-AR"/>
        </w:rPr>
        <w:t>La necesidad de actualizar la regulación para fomentar y proteger la industria así como gestionar la adquisición</w:t>
      </w:r>
      <w:r w:rsidR="00E37579">
        <w:rPr>
          <w:rFonts w:hAnsi="Times New Roman"/>
          <w:lang w:val="es-AR"/>
        </w:rPr>
        <w:t xml:space="preserve"> de nuevas posiciones orbitales; (b) </w:t>
      </w:r>
      <w:r w:rsidR="00E37579" w:rsidRPr="009C0D10">
        <w:rPr>
          <w:rFonts w:hAnsi="Times New Roman"/>
          <w:lang w:val="es-AR"/>
        </w:rPr>
        <w:t>Desarrollar un plan para inco</w:t>
      </w:r>
      <w:r w:rsidR="00E37579">
        <w:rPr>
          <w:rFonts w:hAnsi="Times New Roman"/>
          <w:lang w:val="es-AR"/>
        </w:rPr>
        <w:t>r</w:t>
      </w:r>
      <w:r w:rsidR="00E37579" w:rsidRPr="009C0D10">
        <w:rPr>
          <w:rFonts w:hAnsi="Times New Roman"/>
          <w:lang w:val="es-AR"/>
        </w:rPr>
        <w:t>porar gradualmente mayor valor agregado nacional incorporando una mirada más amplia para lograr eslabonamientos positivos con el</w:t>
      </w:r>
      <w:r w:rsidR="00E37579">
        <w:rPr>
          <w:rFonts w:hAnsi="Times New Roman"/>
          <w:lang w:val="es-AR"/>
        </w:rPr>
        <w:t xml:space="preserve"> resto del entramado industrial; (c) </w:t>
      </w:r>
      <w:r w:rsidR="00E37579" w:rsidRPr="009C0D10">
        <w:rPr>
          <w:rFonts w:hAnsi="Times New Roman"/>
          <w:lang w:val="es-AR"/>
        </w:rPr>
        <w:t xml:space="preserve">Maximizar la articulación con la comunidad científica para generar mejoras tecnológicas en la plataforma </w:t>
      </w:r>
      <w:r w:rsidR="00E37579">
        <w:rPr>
          <w:rFonts w:hAnsi="Times New Roman"/>
          <w:lang w:val="es-AR"/>
        </w:rPr>
        <w:t xml:space="preserve">e incrementar su competitividad; y (d) </w:t>
      </w:r>
      <w:r w:rsidR="00E37579" w:rsidRPr="009C0D10">
        <w:rPr>
          <w:rFonts w:hAnsi="Times New Roman"/>
          <w:lang w:val="es-AR"/>
        </w:rPr>
        <w:t>Fomentar la Integración regional. Una visión unificada del conjunto de los países latinoamericanos permite acelerar los desarrollos, el impacto y las inversiones en menor tiempo.</w:t>
      </w:r>
    </w:p>
    <w:p w:rsidR="00E37579" w:rsidRPr="009C0D10" w:rsidRDefault="00F630BA" w:rsidP="00A35945">
      <w:pPr>
        <w:pStyle w:val="Predeterminado"/>
        <w:spacing w:line="360" w:lineRule="auto"/>
        <w:jc w:val="both"/>
        <w:rPr>
          <w:rFonts w:hAnsi="Times New Roman"/>
          <w:lang w:val="es-AR"/>
        </w:rPr>
      </w:pPr>
      <w:r>
        <w:rPr>
          <w:rFonts w:hAnsi="Times New Roman"/>
          <w:lang w:val="es-AR"/>
        </w:rPr>
        <w:t xml:space="preserve">Sin embargo, esta ley que no está derogada, no está viva. </w:t>
      </w:r>
      <w:r w:rsidR="00B60056">
        <w:rPr>
          <w:rFonts w:hAnsi="Times New Roman"/>
          <w:lang w:val="es-AR"/>
        </w:rPr>
        <w:t xml:space="preserve">Las políticas de Estado dependen de una comprensión de cuál es el interés </w:t>
      </w:r>
      <w:r>
        <w:rPr>
          <w:rFonts w:hAnsi="Times New Roman"/>
          <w:lang w:val="es-AR"/>
        </w:rPr>
        <w:t>nacional, y éste está enlazado con</w:t>
      </w:r>
      <w:r w:rsidR="00B60056">
        <w:rPr>
          <w:rFonts w:hAnsi="Times New Roman"/>
          <w:lang w:val="es-AR"/>
        </w:rPr>
        <w:t xml:space="preserve"> la visión que </w:t>
      </w:r>
      <w:r>
        <w:rPr>
          <w:rFonts w:hAnsi="Times New Roman"/>
          <w:lang w:val="es-AR"/>
        </w:rPr>
        <w:t xml:space="preserve">las élites gobernantes </w:t>
      </w:r>
      <w:r w:rsidR="00B60056">
        <w:rPr>
          <w:rFonts w:hAnsi="Times New Roman"/>
          <w:lang w:val="es-AR"/>
        </w:rPr>
        <w:t>tienen del país y su inse</w:t>
      </w:r>
      <w:r w:rsidR="00C02D5B">
        <w:rPr>
          <w:rFonts w:hAnsi="Times New Roman"/>
          <w:lang w:val="es-AR"/>
        </w:rPr>
        <w:t>rción en el escenario regional y</w:t>
      </w:r>
      <w:r w:rsidR="00B60056">
        <w:rPr>
          <w:rFonts w:hAnsi="Times New Roman"/>
          <w:lang w:val="es-AR"/>
        </w:rPr>
        <w:t xml:space="preserve"> global. Si la definición del interés nacional muta, </w:t>
      </w:r>
      <w:r w:rsidR="00A35945">
        <w:rPr>
          <w:rFonts w:hAnsi="Times New Roman"/>
          <w:lang w:val="es-AR"/>
        </w:rPr>
        <w:t xml:space="preserve">a mediano plazo </w:t>
      </w:r>
      <w:r w:rsidR="00B60056">
        <w:rPr>
          <w:rFonts w:hAnsi="Times New Roman"/>
          <w:lang w:val="es-AR"/>
        </w:rPr>
        <w:t>los contenidos de las políticas de Estado cambian. Los desafíos que nos plantea el caso ARSAT remiten finalmente</w:t>
      </w:r>
      <w:r w:rsidR="00C02D5B">
        <w:rPr>
          <w:rFonts w:hAnsi="Times New Roman"/>
          <w:lang w:val="es-AR"/>
        </w:rPr>
        <w:t xml:space="preserve"> a la comprensión del fenómeno tecnológico y al papel que debe asumir el sector público para la promoción y ejecución de la ciencia, la tecnología y las innovaciones.</w:t>
      </w:r>
      <w:r w:rsidR="00E56677">
        <w:rPr>
          <w:rFonts w:hAnsi="Times New Roman"/>
          <w:lang w:val="es-AR"/>
        </w:rPr>
        <w:t xml:space="preserve"> Y esto no es independiente del modelo de país que suscriben las élites gobernantes. La experiencia de los países desarrollados</w:t>
      </w:r>
      <w:r w:rsidR="0051218A">
        <w:rPr>
          <w:rFonts w:hAnsi="Times New Roman"/>
          <w:lang w:val="es-AR"/>
        </w:rPr>
        <w:t xml:space="preserve">, y la evidencia provista por el caso ARSAT, </w:t>
      </w:r>
      <w:r w:rsidR="00E56677">
        <w:rPr>
          <w:rFonts w:hAnsi="Times New Roman"/>
          <w:lang w:val="es-AR"/>
        </w:rPr>
        <w:t>apunta</w:t>
      </w:r>
      <w:r w:rsidR="0051218A">
        <w:rPr>
          <w:rFonts w:hAnsi="Times New Roman"/>
          <w:lang w:val="es-AR"/>
        </w:rPr>
        <w:t>n</w:t>
      </w:r>
      <w:r w:rsidR="00E56677">
        <w:rPr>
          <w:rFonts w:hAnsi="Times New Roman"/>
          <w:lang w:val="es-AR"/>
        </w:rPr>
        <w:t xml:space="preserve"> en una sola dirección:</w:t>
      </w:r>
      <w:r w:rsidR="0051218A">
        <w:rPr>
          <w:rFonts w:hAnsi="Times New Roman"/>
          <w:lang w:val="es-AR"/>
        </w:rPr>
        <w:t xml:space="preserve"> </w:t>
      </w:r>
      <w:r w:rsidR="00A35945">
        <w:rPr>
          <w:rFonts w:hAnsi="Times New Roman"/>
          <w:lang w:val="es-AR"/>
        </w:rPr>
        <w:t>un Estado activo es la clave de un</w:t>
      </w:r>
      <w:r w:rsidR="0051218A">
        <w:rPr>
          <w:rFonts w:hAnsi="Times New Roman"/>
          <w:lang w:val="es-AR"/>
        </w:rPr>
        <w:t xml:space="preserve"> desarrollo tecnológico innovador</w:t>
      </w:r>
      <w:r w:rsidR="00A35945">
        <w:rPr>
          <w:rFonts w:hAnsi="Times New Roman"/>
          <w:lang w:val="es-AR"/>
        </w:rPr>
        <w:t>, que produzca riqueza y mejore las condiciones de vida de todos sus ciudadanos.</w:t>
      </w:r>
      <w:r w:rsidR="00BE2AFF">
        <w:rPr>
          <w:rFonts w:hAnsi="Times New Roman"/>
          <w:lang w:val="es-AR"/>
        </w:rPr>
        <w:t xml:space="preserve"> Cuando el Estado se vuelve inerte o su presencia se reduce, la ciencia, la tecnología y la innovación se deseng</w:t>
      </w:r>
      <w:r w:rsidR="00AF1617">
        <w:rPr>
          <w:rFonts w:hAnsi="Times New Roman"/>
          <w:lang w:val="es-AR"/>
        </w:rPr>
        <w:t xml:space="preserve">anchan del interés nacional, y </w:t>
      </w:r>
      <w:r w:rsidR="00BE2AFF">
        <w:rPr>
          <w:rFonts w:hAnsi="Times New Roman"/>
          <w:lang w:val="es-AR"/>
        </w:rPr>
        <w:t xml:space="preserve">a mediano y largo plazo todos los ciudadanos de un país ven deteriorado su bienestar. </w:t>
      </w:r>
      <w:r w:rsidR="00A35945">
        <w:rPr>
          <w:rFonts w:hAnsi="Times New Roman"/>
          <w:lang w:val="es-AR"/>
        </w:rPr>
        <w:t xml:space="preserve">   </w:t>
      </w:r>
      <w:r w:rsidR="0051218A">
        <w:rPr>
          <w:rFonts w:hAnsi="Times New Roman"/>
          <w:lang w:val="es-AR"/>
        </w:rPr>
        <w:t xml:space="preserve"> </w:t>
      </w:r>
    </w:p>
    <w:p w:rsidR="00B60056" w:rsidRDefault="00B60056" w:rsidP="009C0D10">
      <w:pPr>
        <w:pStyle w:val="Predeterminado"/>
        <w:spacing w:line="240" w:lineRule="auto"/>
        <w:rPr>
          <w:rFonts w:hAnsi="Times New Roman"/>
          <w:lang w:val="es-AR"/>
        </w:rPr>
      </w:pPr>
    </w:p>
    <w:p w:rsidR="00E37579" w:rsidRDefault="00E37579" w:rsidP="007010F0">
      <w:pPr>
        <w:pStyle w:val="Predeterminado"/>
        <w:spacing w:line="360" w:lineRule="auto"/>
        <w:jc w:val="both"/>
        <w:rPr>
          <w:rFonts w:hAnsi="Times New Roman"/>
          <w:lang w:val="es-ES"/>
        </w:rPr>
      </w:pPr>
    </w:p>
    <w:p w:rsidR="00E37579" w:rsidRPr="00B910A3" w:rsidRDefault="00E37579" w:rsidP="007010F0">
      <w:pPr>
        <w:pStyle w:val="Predeterminado"/>
        <w:spacing w:line="360" w:lineRule="auto"/>
        <w:jc w:val="both"/>
        <w:rPr>
          <w:rFonts w:hAnsi="Times New Roman"/>
          <w:lang w:val="en-US"/>
        </w:rPr>
      </w:pPr>
      <w:proofErr w:type="spellStart"/>
      <w:r w:rsidRPr="007D52F0">
        <w:rPr>
          <w:rFonts w:hAnsi="Times New Roman"/>
          <w:b/>
          <w:lang w:val="en-US"/>
        </w:rPr>
        <w:t>Bibliografía</w:t>
      </w:r>
      <w:proofErr w:type="spellEnd"/>
    </w:p>
    <w:p w:rsidR="00E37579" w:rsidRDefault="00E37579" w:rsidP="007010F0">
      <w:pPr>
        <w:pStyle w:val="Predeterminado"/>
        <w:spacing w:line="360" w:lineRule="auto"/>
        <w:jc w:val="both"/>
        <w:rPr>
          <w:rFonts w:hAnsi="Times New Roman"/>
          <w:lang w:val="en-US"/>
        </w:rPr>
      </w:pPr>
      <w:proofErr w:type="spellStart"/>
      <w:r w:rsidRPr="00EA202C">
        <w:rPr>
          <w:rFonts w:hAnsi="Times New Roman"/>
          <w:szCs w:val="24"/>
          <w:lang w:val="en-US"/>
        </w:rPr>
        <w:t>Amsden</w:t>
      </w:r>
      <w:proofErr w:type="spellEnd"/>
      <w:r w:rsidRPr="00EA202C">
        <w:rPr>
          <w:rFonts w:hAnsi="Times New Roman"/>
          <w:szCs w:val="24"/>
          <w:lang w:val="en-US"/>
        </w:rPr>
        <w:t xml:space="preserve">, A. </w:t>
      </w:r>
      <w:r>
        <w:rPr>
          <w:rFonts w:hAnsi="Times New Roman"/>
          <w:szCs w:val="24"/>
          <w:lang w:val="en-US"/>
        </w:rPr>
        <w:t>(</w:t>
      </w:r>
      <w:r w:rsidRPr="00EA202C">
        <w:rPr>
          <w:rFonts w:hAnsi="Times New Roman"/>
          <w:szCs w:val="24"/>
          <w:lang w:val="en-US"/>
        </w:rPr>
        <w:t>2001</w:t>
      </w:r>
      <w:r>
        <w:rPr>
          <w:rFonts w:hAnsi="Times New Roman"/>
          <w:szCs w:val="24"/>
          <w:lang w:val="en-US"/>
        </w:rPr>
        <w:t>),</w:t>
      </w:r>
      <w:r w:rsidRPr="00EA202C">
        <w:rPr>
          <w:rFonts w:hAnsi="Times New Roman"/>
          <w:szCs w:val="24"/>
          <w:lang w:val="en-US"/>
        </w:rPr>
        <w:t xml:space="preserve"> </w:t>
      </w:r>
      <w:proofErr w:type="gramStart"/>
      <w:r w:rsidRPr="00EA202C">
        <w:rPr>
          <w:rFonts w:hAnsi="Times New Roman"/>
          <w:i/>
          <w:szCs w:val="24"/>
          <w:lang w:val="en-US"/>
        </w:rPr>
        <w:t>The</w:t>
      </w:r>
      <w:proofErr w:type="gramEnd"/>
      <w:r w:rsidRPr="00EA202C">
        <w:rPr>
          <w:rFonts w:hAnsi="Times New Roman"/>
          <w:i/>
          <w:szCs w:val="24"/>
          <w:lang w:val="en-US"/>
        </w:rPr>
        <w:t xml:space="preserve"> Rise of ‘The Rest’: Challenges to the West from </w:t>
      </w:r>
      <w:proofErr w:type="spellStart"/>
      <w:r w:rsidRPr="00EA202C">
        <w:rPr>
          <w:rFonts w:hAnsi="Times New Roman"/>
          <w:i/>
          <w:szCs w:val="24"/>
          <w:lang w:val="en-US"/>
        </w:rPr>
        <w:t>Lete</w:t>
      </w:r>
      <w:proofErr w:type="spellEnd"/>
      <w:r w:rsidRPr="00EA202C">
        <w:rPr>
          <w:rFonts w:hAnsi="Times New Roman"/>
          <w:i/>
          <w:szCs w:val="24"/>
          <w:lang w:val="en-US"/>
        </w:rPr>
        <w:t>-Industrializing Economies</w:t>
      </w:r>
      <w:r>
        <w:rPr>
          <w:rFonts w:hAnsi="Times New Roman"/>
          <w:szCs w:val="24"/>
          <w:lang w:val="en-US"/>
        </w:rPr>
        <w:t>,</w:t>
      </w:r>
      <w:r w:rsidRPr="00EA202C">
        <w:rPr>
          <w:rFonts w:hAnsi="Times New Roman"/>
          <w:szCs w:val="24"/>
          <w:lang w:val="en-US"/>
        </w:rPr>
        <w:t xml:space="preserve"> </w:t>
      </w:r>
      <w:r w:rsidRPr="004F6B4C">
        <w:rPr>
          <w:rFonts w:hAnsi="Times New Roman"/>
          <w:szCs w:val="24"/>
          <w:lang w:val="en-US"/>
        </w:rPr>
        <w:t>Ox</w:t>
      </w:r>
      <w:r>
        <w:rPr>
          <w:rFonts w:hAnsi="Times New Roman"/>
          <w:szCs w:val="24"/>
          <w:lang w:val="en-US"/>
        </w:rPr>
        <w:t>ford,</w:t>
      </w:r>
      <w:r w:rsidRPr="004F6B4C">
        <w:rPr>
          <w:rFonts w:hAnsi="Times New Roman"/>
          <w:szCs w:val="24"/>
          <w:lang w:val="en-US"/>
        </w:rPr>
        <w:t xml:space="preserve"> Oxford University Press.</w:t>
      </w:r>
    </w:p>
    <w:p w:rsidR="00E37579" w:rsidRPr="004F6B4C" w:rsidRDefault="00E37579" w:rsidP="007010F0">
      <w:pPr>
        <w:pStyle w:val="Predeterminado"/>
        <w:spacing w:line="360" w:lineRule="auto"/>
        <w:jc w:val="both"/>
        <w:rPr>
          <w:rFonts w:hAnsi="Times New Roman"/>
          <w:lang w:val="en-US"/>
        </w:rPr>
      </w:pPr>
      <w:proofErr w:type="spellStart"/>
      <w:r>
        <w:rPr>
          <w:rFonts w:hAnsi="Times New Roman"/>
          <w:szCs w:val="24"/>
          <w:lang w:val="en-US"/>
        </w:rPr>
        <w:t>Arocena</w:t>
      </w:r>
      <w:proofErr w:type="spellEnd"/>
      <w:r>
        <w:rPr>
          <w:rFonts w:hAnsi="Times New Roman"/>
          <w:szCs w:val="24"/>
          <w:lang w:val="en-US"/>
        </w:rPr>
        <w:t xml:space="preserve">, R. y </w:t>
      </w:r>
      <w:proofErr w:type="spellStart"/>
      <w:r>
        <w:rPr>
          <w:rFonts w:hAnsi="Times New Roman"/>
          <w:szCs w:val="24"/>
          <w:lang w:val="en-US"/>
        </w:rPr>
        <w:t>Sutz</w:t>
      </w:r>
      <w:proofErr w:type="spellEnd"/>
      <w:r>
        <w:rPr>
          <w:rFonts w:hAnsi="Times New Roman"/>
          <w:szCs w:val="24"/>
          <w:lang w:val="en-US"/>
        </w:rPr>
        <w:t>, J. (2000)</w:t>
      </w:r>
      <w:r w:rsidRPr="007D52F0">
        <w:rPr>
          <w:rFonts w:hAnsi="Times New Roman"/>
          <w:szCs w:val="24"/>
          <w:lang w:val="en-US"/>
        </w:rPr>
        <w:t>, “Looking at National Systems of Innovation from the South”,</w:t>
      </w:r>
      <w:r>
        <w:rPr>
          <w:rFonts w:hAnsi="Times New Roman"/>
          <w:szCs w:val="24"/>
          <w:lang w:val="en-US"/>
        </w:rPr>
        <w:t xml:space="preserve"> </w:t>
      </w:r>
      <w:r w:rsidRPr="007D52F0">
        <w:rPr>
          <w:rFonts w:hAnsi="Times New Roman"/>
          <w:i/>
          <w:szCs w:val="24"/>
          <w:lang w:val="en-US"/>
        </w:rPr>
        <w:t>Industry and Innovation</w:t>
      </w:r>
      <w:r w:rsidRPr="007D52F0">
        <w:rPr>
          <w:rFonts w:hAnsi="Times New Roman"/>
          <w:szCs w:val="24"/>
          <w:lang w:val="en-US"/>
        </w:rPr>
        <w:t xml:space="preserve">, vol. 7, </w:t>
      </w:r>
      <w:proofErr w:type="spellStart"/>
      <w:r w:rsidRPr="007D52F0">
        <w:rPr>
          <w:rFonts w:hAnsi="Times New Roman"/>
          <w:szCs w:val="24"/>
          <w:lang w:val="en-US"/>
        </w:rPr>
        <w:t>núm</w:t>
      </w:r>
      <w:proofErr w:type="spellEnd"/>
      <w:r w:rsidRPr="007D52F0">
        <w:rPr>
          <w:rFonts w:hAnsi="Times New Roman"/>
          <w:szCs w:val="24"/>
          <w:lang w:val="en-US"/>
        </w:rPr>
        <w:t>.</w:t>
      </w:r>
      <w:r>
        <w:rPr>
          <w:rFonts w:hAnsi="Times New Roman"/>
          <w:szCs w:val="24"/>
          <w:lang w:val="en-US"/>
        </w:rPr>
        <w:t xml:space="preserve"> 1,</w:t>
      </w:r>
      <w:r w:rsidRPr="007D52F0">
        <w:rPr>
          <w:rFonts w:hAnsi="Times New Roman"/>
          <w:szCs w:val="24"/>
          <w:lang w:val="en-US"/>
        </w:rPr>
        <w:t xml:space="preserve"> pp. 55-75.</w:t>
      </w:r>
    </w:p>
    <w:p w:rsidR="00E37579" w:rsidRDefault="00E37579" w:rsidP="007010F0">
      <w:pPr>
        <w:pStyle w:val="Predeterminado"/>
        <w:spacing w:line="360" w:lineRule="auto"/>
        <w:jc w:val="both"/>
        <w:rPr>
          <w:rFonts w:hAnsi="Times New Roman"/>
          <w:szCs w:val="24"/>
          <w:lang w:val="es-AR" w:eastAsia="es-ES"/>
        </w:rPr>
      </w:pPr>
      <w:r w:rsidRPr="00845F87">
        <w:rPr>
          <w:rFonts w:hAnsi="Times New Roman"/>
          <w:szCs w:val="24"/>
          <w:lang w:val="es-AR" w:eastAsia="es-ES"/>
        </w:rPr>
        <w:t>Bianchi, M. y Rus, G. (</w:t>
      </w:r>
      <w:proofErr w:type="spellStart"/>
      <w:r w:rsidRPr="00845F87">
        <w:rPr>
          <w:rFonts w:hAnsi="Times New Roman"/>
          <w:szCs w:val="24"/>
          <w:lang w:val="es-AR" w:eastAsia="es-ES"/>
        </w:rPr>
        <w:t>comps</w:t>
      </w:r>
      <w:proofErr w:type="spellEnd"/>
      <w:r w:rsidRPr="00845F87">
        <w:rPr>
          <w:rFonts w:hAnsi="Times New Roman"/>
          <w:szCs w:val="24"/>
          <w:lang w:val="es-AR" w:eastAsia="es-ES"/>
        </w:rPr>
        <w:t xml:space="preserve">.) (2016), </w:t>
      </w:r>
      <w:r w:rsidRPr="00845F87">
        <w:rPr>
          <w:rFonts w:hAnsi="Times New Roman"/>
          <w:i/>
          <w:szCs w:val="24"/>
          <w:lang w:val="es-AR" w:eastAsia="es-ES"/>
        </w:rPr>
        <w:t>El futuro llegó. Plan Satelital Geoestacionario Argentino 2015-2035</w:t>
      </w:r>
      <w:r w:rsidRPr="00845F87">
        <w:rPr>
          <w:rFonts w:hAnsi="Times New Roman"/>
          <w:szCs w:val="24"/>
          <w:lang w:val="es-AR" w:eastAsia="es-ES"/>
        </w:rPr>
        <w:t>, Buenos Aires, OINK</w:t>
      </w:r>
      <w:r>
        <w:rPr>
          <w:rFonts w:hAnsi="Times New Roman"/>
          <w:szCs w:val="24"/>
          <w:lang w:val="es-AR" w:eastAsia="es-ES"/>
        </w:rPr>
        <w:t>.</w:t>
      </w:r>
    </w:p>
    <w:p w:rsidR="00E37579" w:rsidRPr="00BA58F0" w:rsidRDefault="00E37579" w:rsidP="007010F0">
      <w:pPr>
        <w:pStyle w:val="Predeterminado"/>
        <w:spacing w:line="360" w:lineRule="auto"/>
        <w:jc w:val="both"/>
        <w:rPr>
          <w:rFonts w:hAnsi="Times New Roman"/>
          <w:szCs w:val="24"/>
          <w:lang w:val="es-AR"/>
        </w:rPr>
      </w:pPr>
      <w:proofErr w:type="spellStart"/>
      <w:r w:rsidRPr="00BA58F0">
        <w:rPr>
          <w:rFonts w:hAnsi="Times New Roman"/>
          <w:szCs w:val="24"/>
          <w:lang w:val="es-AR" w:eastAsia="es-ES"/>
        </w:rPr>
        <w:t>Blinder</w:t>
      </w:r>
      <w:proofErr w:type="spellEnd"/>
      <w:r w:rsidRPr="00BA58F0">
        <w:rPr>
          <w:rFonts w:hAnsi="Times New Roman"/>
          <w:szCs w:val="24"/>
          <w:lang w:val="es-AR" w:eastAsia="es-ES"/>
        </w:rPr>
        <w:t>, D. (2014), “</w:t>
      </w:r>
      <w:r w:rsidRPr="00BA58F0">
        <w:rPr>
          <w:rFonts w:hAnsi="Times New Roman"/>
          <w:szCs w:val="24"/>
          <w:lang w:val="es-AR"/>
        </w:rPr>
        <w:t xml:space="preserve">La cuestión </w:t>
      </w:r>
      <w:proofErr w:type="spellStart"/>
      <w:r w:rsidRPr="00BA58F0">
        <w:rPr>
          <w:rFonts w:hAnsi="Times New Roman"/>
          <w:szCs w:val="24"/>
          <w:lang w:val="es-AR"/>
        </w:rPr>
        <w:t>misilística</w:t>
      </w:r>
      <w:proofErr w:type="spellEnd"/>
      <w:r w:rsidRPr="00BA58F0">
        <w:rPr>
          <w:rFonts w:hAnsi="Times New Roman"/>
          <w:szCs w:val="24"/>
          <w:lang w:val="es-AR"/>
        </w:rPr>
        <w:t xml:space="preserve"> y la tecnología de defensa: la política espacial en la Argentina, la producción del Misil Cóndor II en el contexto geopolítico llamado Nuevo Orden Mundial y la supremacía de los EEUU (1989-1999)”, </w:t>
      </w:r>
      <w:r w:rsidRPr="00BA58F0">
        <w:rPr>
          <w:rFonts w:hAnsi="Times New Roman"/>
          <w:i/>
          <w:szCs w:val="24"/>
          <w:lang w:val="es-AR"/>
        </w:rPr>
        <w:t>Tesis Doctoral</w:t>
      </w:r>
      <w:r w:rsidRPr="00BA58F0">
        <w:rPr>
          <w:rFonts w:hAnsi="Times New Roman"/>
          <w:szCs w:val="24"/>
          <w:lang w:val="es-AR"/>
        </w:rPr>
        <w:t>, Facultad de Ciencias Sociales, Universidad de Buenos Aires.</w:t>
      </w:r>
    </w:p>
    <w:p w:rsidR="00E37579" w:rsidRDefault="00E37579" w:rsidP="007010F0">
      <w:pPr>
        <w:pStyle w:val="Predeterminado"/>
        <w:spacing w:line="360" w:lineRule="auto"/>
        <w:jc w:val="both"/>
        <w:rPr>
          <w:rFonts w:eastAsia="AJensonPro-Regular"/>
          <w:lang w:val="en-US" w:eastAsia="es-AR"/>
        </w:rPr>
      </w:pPr>
      <w:r w:rsidRPr="001343FB">
        <w:rPr>
          <w:rFonts w:eastAsia="AJensonPro-Regular"/>
          <w:lang w:val="en-US" w:eastAsia="es-AR"/>
        </w:rPr>
        <w:t xml:space="preserve">Block, F. 2008. </w:t>
      </w:r>
      <w:r w:rsidRPr="00EA202C">
        <w:rPr>
          <w:rFonts w:eastAsia="AJensonPro-Regular"/>
          <w:lang w:val="en-US" w:eastAsia="es-AR"/>
        </w:rPr>
        <w:t>“</w:t>
      </w:r>
      <w:r w:rsidRPr="00EA202C">
        <w:rPr>
          <w:rFonts w:eastAsia="AJensonPro-Regular"/>
          <w:lang w:val="en-US" w:eastAsia="es-AR"/>
        </w:rPr>
        <w:t>Swimming Against the Current: The Rise of a Hidden Developmental State in the United State</w:t>
      </w:r>
      <w:r w:rsidRPr="00EA202C">
        <w:rPr>
          <w:rFonts w:eastAsia="AJensonPro-Regular"/>
          <w:lang w:val="en-US" w:eastAsia="es-AR"/>
        </w:rPr>
        <w:t>”</w:t>
      </w:r>
      <w:r w:rsidRPr="00EA202C">
        <w:rPr>
          <w:rFonts w:eastAsia="AJensonPro-Regular"/>
          <w:lang w:val="en-US" w:eastAsia="es-AR"/>
        </w:rPr>
        <w:t xml:space="preserve">, </w:t>
      </w:r>
      <w:r w:rsidRPr="007010F0">
        <w:rPr>
          <w:rFonts w:eastAsia="AJensonPro-Regular"/>
          <w:i/>
          <w:lang w:val="en-US" w:eastAsia="es-AR"/>
        </w:rPr>
        <w:t>Politics &amp; Society</w:t>
      </w:r>
      <w:r w:rsidRPr="00EA202C">
        <w:rPr>
          <w:rFonts w:eastAsia="AJensonPro-Regular"/>
          <w:lang w:val="en-US" w:eastAsia="es-AR"/>
        </w:rPr>
        <w:t xml:space="preserve">, vol. 20, </w:t>
      </w:r>
      <w:proofErr w:type="spellStart"/>
      <w:r w:rsidRPr="00EA202C">
        <w:rPr>
          <w:rFonts w:eastAsia="AJensonPro-Regular"/>
          <w:lang w:val="en-US" w:eastAsia="es-AR"/>
        </w:rPr>
        <w:t>n</w:t>
      </w:r>
      <w:r w:rsidRPr="00EA202C">
        <w:rPr>
          <w:rFonts w:eastAsia="AJensonPro-Regular"/>
          <w:lang w:val="en-US" w:eastAsia="es-AR"/>
        </w:rPr>
        <w:t>ú</w:t>
      </w:r>
      <w:r w:rsidRPr="00EA202C">
        <w:rPr>
          <w:rFonts w:eastAsia="AJensonPro-Regular"/>
          <w:lang w:val="en-US" w:eastAsia="es-AR"/>
        </w:rPr>
        <w:t>m</w:t>
      </w:r>
      <w:proofErr w:type="spellEnd"/>
      <w:r w:rsidRPr="00EA202C">
        <w:rPr>
          <w:rFonts w:eastAsia="AJensonPro-Regular"/>
          <w:lang w:val="en-US" w:eastAsia="es-AR"/>
        </w:rPr>
        <w:t>. 10, pp. 1-38.</w:t>
      </w:r>
    </w:p>
    <w:p w:rsidR="00E37579" w:rsidRPr="005A20A7" w:rsidRDefault="00E37579" w:rsidP="007010F0">
      <w:pPr>
        <w:pStyle w:val="Predeterminado"/>
        <w:spacing w:line="360" w:lineRule="auto"/>
        <w:jc w:val="both"/>
        <w:rPr>
          <w:rFonts w:hAnsi="Times New Roman"/>
          <w:szCs w:val="24"/>
          <w:lang w:val="es-AR" w:eastAsia="es-ES"/>
        </w:rPr>
      </w:pPr>
      <w:proofErr w:type="spellStart"/>
      <w:r w:rsidRPr="00BA58F0">
        <w:rPr>
          <w:rFonts w:hAnsi="Times New Roman"/>
          <w:color w:val="000000"/>
          <w:szCs w:val="24"/>
          <w:lang w:val="es-AR"/>
        </w:rPr>
        <w:t>Borelli</w:t>
      </w:r>
      <w:proofErr w:type="spellEnd"/>
      <w:r w:rsidRPr="00BA58F0">
        <w:rPr>
          <w:rFonts w:hAnsi="Times New Roman"/>
          <w:color w:val="000000"/>
          <w:szCs w:val="24"/>
          <w:lang w:val="es-AR"/>
        </w:rPr>
        <w:t>, J</w:t>
      </w:r>
      <w:r w:rsidR="003605F1">
        <w:rPr>
          <w:rFonts w:hAnsi="Times New Roman"/>
          <w:color w:val="000000"/>
          <w:szCs w:val="24"/>
          <w:lang w:val="es-AR"/>
        </w:rPr>
        <w:t>. 2016. “El vaciamiento de ARSAT</w:t>
      </w:r>
      <w:r w:rsidRPr="00BA58F0">
        <w:rPr>
          <w:rFonts w:hAnsi="Times New Roman"/>
          <w:color w:val="000000"/>
          <w:szCs w:val="24"/>
          <w:lang w:val="es-AR"/>
        </w:rPr>
        <w:t xml:space="preserve"> y el fin y el fin de la soberanía satelital”, </w:t>
      </w:r>
      <w:r w:rsidRPr="00BA58F0">
        <w:rPr>
          <w:rFonts w:hAnsi="Times New Roman"/>
          <w:i/>
          <w:color w:val="000000"/>
          <w:szCs w:val="24"/>
          <w:lang w:val="es-AR"/>
        </w:rPr>
        <w:t>Tiempo Argentino</w:t>
      </w:r>
      <w:r w:rsidRPr="00BA58F0">
        <w:rPr>
          <w:rFonts w:hAnsi="Times New Roman"/>
          <w:color w:val="000000"/>
          <w:szCs w:val="24"/>
          <w:lang w:val="es-AR"/>
        </w:rPr>
        <w:t>, 3 de diciembre.</w:t>
      </w:r>
    </w:p>
    <w:p w:rsidR="00E37579" w:rsidRDefault="00E37579" w:rsidP="00CF3D15">
      <w:pPr>
        <w:pStyle w:val="Predeterminado"/>
        <w:spacing w:line="360" w:lineRule="auto"/>
        <w:jc w:val="both"/>
        <w:rPr>
          <w:rFonts w:hAnsi="Times New Roman"/>
          <w:color w:val="000000"/>
          <w:szCs w:val="24"/>
          <w:lang w:val="en-US"/>
        </w:rPr>
      </w:pPr>
      <w:proofErr w:type="spellStart"/>
      <w:r w:rsidRPr="00BA58F0">
        <w:rPr>
          <w:rFonts w:hAnsi="Times New Roman"/>
          <w:szCs w:val="24"/>
          <w:lang w:val="en-US"/>
        </w:rPr>
        <w:t>Boulding</w:t>
      </w:r>
      <w:proofErr w:type="spellEnd"/>
      <w:r w:rsidRPr="00BA58F0">
        <w:rPr>
          <w:rFonts w:hAnsi="Times New Roman"/>
          <w:szCs w:val="24"/>
          <w:lang w:val="en-US"/>
        </w:rPr>
        <w:t>, K.</w:t>
      </w:r>
      <w:r>
        <w:rPr>
          <w:rFonts w:hAnsi="Times New Roman"/>
          <w:szCs w:val="24"/>
          <w:lang w:val="en-US"/>
        </w:rPr>
        <w:t xml:space="preserve"> (1985)</w:t>
      </w:r>
      <w:r w:rsidRPr="000B3073">
        <w:rPr>
          <w:rFonts w:hAnsi="Times New Roman"/>
          <w:szCs w:val="24"/>
          <w:lang w:val="en-US"/>
        </w:rPr>
        <w:t xml:space="preserve">, </w:t>
      </w:r>
      <w:proofErr w:type="gramStart"/>
      <w:r w:rsidRPr="000B3073">
        <w:rPr>
          <w:rFonts w:hAnsi="Times New Roman"/>
          <w:i/>
          <w:color w:val="000000"/>
          <w:szCs w:val="24"/>
          <w:lang w:val="en-US"/>
        </w:rPr>
        <w:t>The</w:t>
      </w:r>
      <w:proofErr w:type="gramEnd"/>
      <w:r w:rsidRPr="000B3073">
        <w:rPr>
          <w:rFonts w:hAnsi="Times New Roman"/>
          <w:i/>
          <w:color w:val="000000"/>
          <w:szCs w:val="24"/>
          <w:lang w:val="en-US"/>
        </w:rPr>
        <w:t xml:space="preserve"> World as a Total System</w:t>
      </w:r>
      <w:r w:rsidRPr="000B3073">
        <w:rPr>
          <w:rFonts w:hAnsi="Times New Roman"/>
          <w:color w:val="000000"/>
          <w:szCs w:val="24"/>
          <w:lang w:val="en-US"/>
        </w:rPr>
        <w:t xml:space="preserve">, </w:t>
      </w:r>
      <w:proofErr w:type="spellStart"/>
      <w:r w:rsidRPr="000B3073">
        <w:rPr>
          <w:rFonts w:hAnsi="Times New Roman"/>
          <w:color w:val="000000"/>
          <w:szCs w:val="24"/>
          <w:lang w:val="en-US"/>
        </w:rPr>
        <w:t>Londres</w:t>
      </w:r>
      <w:proofErr w:type="spellEnd"/>
      <w:r w:rsidRPr="000B3073">
        <w:rPr>
          <w:rFonts w:hAnsi="Times New Roman"/>
          <w:color w:val="000000"/>
          <w:szCs w:val="24"/>
          <w:lang w:val="en-US"/>
        </w:rPr>
        <w:t>, Sage.</w:t>
      </w:r>
    </w:p>
    <w:p w:rsidR="00E37579" w:rsidRDefault="00E37579" w:rsidP="00CF3D15">
      <w:pPr>
        <w:pStyle w:val="Predeterminado"/>
        <w:spacing w:line="360" w:lineRule="auto"/>
        <w:jc w:val="both"/>
        <w:rPr>
          <w:rFonts w:hAnsi="Times New Roman"/>
          <w:szCs w:val="24"/>
          <w:lang w:val="en-US"/>
        </w:rPr>
      </w:pPr>
      <w:r w:rsidRPr="00CF3D15">
        <w:rPr>
          <w:szCs w:val="24"/>
          <w:lang w:val="en-US"/>
        </w:rPr>
        <w:t>Bush, V</w:t>
      </w:r>
      <w:r>
        <w:rPr>
          <w:szCs w:val="24"/>
          <w:lang w:val="en-US"/>
        </w:rPr>
        <w:t>.</w:t>
      </w:r>
      <w:r w:rsidRPr="00CF3D15">
        <w:rPr>
          <w:szCs w:val="24"/>
          <w:lang w:val="en-US"/>
        </w:rPr>
        <w:t xml:space="preserve"> </w:t>
      </w:r>
      <w:r>
        <w:rPr>
          <w:szCs w:val="24"/>
          <w:lang w:val="en-US"/>
        </w:rPr>
        <w:t>(1960 [1945]),</w:t>
      </w:r>
      <w:r w:rsidRPr="00CF3D15">
        <w:rPr>
          <w:szCs w:val="24"/>
          <w:lang w:val="en-US"/>
        </w:rPr>
        <w:t xml:space="preserve"> </w:t>
      </w:r>
      <w:r w:rsidRPr="00CF3D15">
        <w:rPr>
          <w:i/>
          <w:szCs w:val="24"/>
          <w:lang w:val="en-US"/>
        </w:rPr>
        <w:t xml:space="preserve">Science </w:t>
      </w:r>
      <w:r w:rsidRPr="00CF3D15">
        <w:rPr>
          <w:i/>
          <w:szCs w:val="24"/>
          <w:lang w:val="en-US"/>
        </w:rPr>
        <w:t>–</w:t>
      </w:r>
      <w:r w:rsidRPr="00CF3D15">
        <w:rPr>
          <w:i/>
          <w:szCs w:val="24"/>
          <w:lang w:val="en-US"/>
        </w:rPr>
        <w:t xml:space="preserve"> The Endless Frontier</w:t>
      </w:r>
      <w:r>
        <w:rPr>
          <w:szCs w:val="24"/>
          <w:lang w:val="en-US"/>
        </w:rPr>
        <w:t>, Washington, D.C.,</w:t>
      </w:r>
      <w:r w:rsidRPr="00CF3D15">
        <w:rPr>
          <w:szCs w:val="24"/>
          <w:lang w:val="en-US"/>
        </w:rPr>
        <w:t xml:space="preserve"> National Science Foundation.</w:t>
      </w:r>
    </w:p>
    <w:p w:rsidR="00E37579" w:rsidRPr="00C776A9" w:rsidRDefault="00E37579" w:rsidP="00CF3D15">
      <w:pPr>
        <w:pStyle w:val="Predeterminado"/>
        <w:spacing w:line="360" w:lineRule="auto"/>
        <w:jc w:val="both"/>
        <w:rPr>
          <w:rFonts w:hAnsi="Times New Roman"/>
          <w:szCs w:val="24"/>
          <w:lang w:val="es-AR"/>
        </w:rPr>
      </w:pPr>
      <w:proofErr w:type="spellStart"/>
      <w:r w:rsidRPr="00C776A9">
        <w:rPr>
          <w:rFonts w:hAnsi="Times New Roman"/>
          <w:szCs w:val="24"/>
          <w:lang w:val="es-AR"/>
        </w:rPr>
        <w:t>Carrió</w:t>
      </w:r>
      <w:proofErr w:type="spellEnd"/>
      <w:r w:rsidRPr="00C776A9">
        <w:rPr>
          <w:rFonts w:hAnsi="Times New Roman"/>
          <w:szCs w:val="24"/>
          <w:lang w:val="es-AR"/>
        </w:rPr>
        <w:t>, E (2016),</w:t>
      </w:r>
      <w:r>
        <w:rPr>
          <w:rFonts w:hAnsi="Times New Roman"/>
          <w:szCs w:val="24"/>
          <w:lang w:val="es-AR"/>
        </w:rPr>
        <w:t xml:space="preserve"> “La nueva matriz del Saqueo. Desestatización por desapoderamiento final. El nacimiento del Patrimonialismo Corrupto”. </w:t>
      </w:r>
      <w:proofErr w:type="spellStart"/>
      <w:r>
        <w:rPr>
          <w:rFonts w:hAnsi="Times New Roman"/>
          <w:szCs w:val="24"/>
          <w:lang w:val="es-AR"/>
        </w:rPr>
        <w:t>Mimeo</w:t>
      </w:r>
      <w:proofErr w:type="spellEnd"/>
      <w:r>
        <w:rPr>
          <w:rFonts w:hAnsi="Times New Roman"/>
          <w:szCs w:val="24"/>
          <w:lang w:val="es-AR"/>
        </w:rPr>
        <w:t>. Buenos Aires, 28 de marzo de 2006</w:t>
      </w:r>
      <w:r>
        <w:rPr>
          <w:rStyle w:val="a"/>
          <w:rFonts w:hAnsi="Times New Roman"/>
          <w:bCs/>
          <w:color w:val="000000"/>
          <w:szCs w:val="24"/>
          <w:bdr w:val="none" w:sz="0" w:space="0" w:color="auto" w:frame="1"/>
          <w:shd w:val="clear" w:color="auto" w:fill="FFFFFF"/>
          <w:lang w:val="es-AR"/>
        </w:rPr>
        <w:t>.</w:t>
      </w:r>
    </w:p>
    <w:p w:rsidR="00E37579" w:rsidRPr="00845F87" w:rsidRDefault="00E37579" w:rsidP="00EB2ADC">
      <w:pPr>
        <w:pStyle w:val="Predeterminado"/>
        <w:spacing w:line="360" w:lineRule="auto"/>
        <w:jc w:val="both"/>
        <w:rPr>
          <w:rFonts w:hAnsi="Times New Roman"/>
          <w:szCs w:val="24"/>
          <w:lang w:val="en-US" w:eastAsia="es-ES"/>
        </w:rPr>
      </w:pPr>
      <w:r w:rsidRPr="00DC2369">
        <w:rPr>
          <w:rFonts w:hAnsi="Times New Roman"/>
          <w:szCs w:val="24"/>
          <w:lang w:val="es-AR" w:eastAsia="es-ES"/>
        </w:rPr>
        <w:t>Chang, Ha-</w:t>
      </w:r>
      <w:proofErr w:type="spellStart"/>
      <w:r w:rsidRPr="00DC2369">
        <w:rPr>
          <w:rFonts w:hAnsi="Times New Roman"/>
          <w:szCs w:val="24"/>
          <w:lang w:val="es-AR" w:eastAsia="es-ES"/>
        </w:rPr>
        <w:t>Joon</w:t>
      </w:r>
      <w:proofErr w:type="spellEnd"/>
      <w:r w:rsidRPr="00DC2369">
        <w:rPr>
          <w:rFonts w:hAnsi="Times New Roman"/>
          <w:szCs w:val="24"/>
          <w:lang w:val="es-AR" w:eastAsia="es-ES"/>
        </w:rPr>
        <w:t xml:space="preserve"> (2008), </w:t>
      </w:r>
      <w:proofErr w:type="spellStart"/>
      <w:r w:rsidRPr="00DC2369">
        <w:rPr>
          <w:rFonts w:hAnsi="Times New Roman"/>
          <w:i/>
          <w:szCs w:val="24"/>
          <w:lang w:val="es-AR" w:eastAsia="es-ES"/>
        </w:rPr>
        <w:t>Bad</w:t>
      </w:r>
      <w:proofErr w:type="spellEnd"/>
      <w:r w:rsidRPr="00DC2369">
        <w:rPr>
          <w:rFonts w:hAnsi="Times New Roman"/>
          <w:i/>
          <w:szCs w:val="24"/>
          <w:lang w:val="es-AR" w:eastAsia="es-ES"/>
        </w:rPr>
        <w:t xml:space="preserve"> </w:t>
      </w:r>
      <w:proofErr w:type="spellStart"/>
      <w:r w:rsidRPr="00DC2369">
        <w:rPr>
          <w:rFonts w:hAnsi="Times New Roman"/>
          <w:i/>
          <w:szCs w:val="24"/>
          <w:lang w:val="es-AR" w:eastAsia="es-ES"/>
        </w:rPr>
        <w:t>Samaritans</w:t>
      </w:r>
      <w:proofErr w:type="spellEnd"/>
      <w:r w:rsidRPr="00DC2369">
        <w:rPr>
          <w:rFonts w:hAnsi="Times New Roman"/>
          <w:i/>
          <w:szCs w:val="24"/>
          <w:lang w:val="es-AR" w:eastAsia="es-ES"/>
        </w:rPr>
        <w:t xml:space="preserve">. </w:t>
      </w:r>
      <w:r w:rsidRPr="00845F87">
        <w:rPr>
          <w:rFonts w:hAnsi="Times New Roman"/>
          <w:i/>
          <w:szCs w:val="24"/>
          <w:lang w:val="en-US" w:eastAsia="es-ES"/>
        </w:rPr>
        <w:t>The Myth of Free Trade and the Secret History of Capitalism</w:t>
      </w:r>
      <w:r w:rsidRPr="00845F87">
        <w:rPr>
          <w:rFonts w:hAnsi="Times New Roman"/>
          <w:szCs w:val="24"/>
          <w:lang w:val="en-US" w:eastAsia="es-ES"/>
        </w:rPr>
        <w:t>, New York, Bloomsbury.</w:t>
      </w:r>
    </w:p>
    <w:p w:rsidR="00E37579" w:rsidRDefault="00E37579" w:rsidP="0048076B">
      <w:pPr>
        <w:pStyle w:val="Predeterminado"/>
        <w:spacing w:line="360" w:lineRule="auto"/>
        <w:rPr>
          <w:rFonts w:hAnsi="Times New Roman"/>
          <w:szCs w:val="24"/>
          <w:lang w:val="es-AR"/>
        </w:rPr>
      </w:pPr>
      <w:r w:rsidRPr="00365AFF">
        <w:rPr>
          <w:rFonts w:hAnsi="Times New Roman"/>
          <w:i/>
          <w:szCs w:val="24"/>
          <w:lang w:val="es-AR"/>
        </w:rPr>
        <w:t>Cla</w:t>
      </w:r>
      <w:r w:rsidRPr="003C78B3">
        <w:rPr>
          <w:rFonts w:hAnsi="Times New Roman"/>
          <w:i/>
          <w:szCs w:val="24"/>
          <w:lang w:val="es-AR"/>
        </w:rPr>
        <w:t>rín</w:t>
      </w:r>
      <w:r w:rsidRPr="003C78B3">
        <w:rPr>
          <w:rFonts w:hAnsi="Times New Roman"/>
          <w:szCs w:val="24"/>
          <w:lang w:val="es-AR"/>
        </w:rPr>
        <w:t xml:space="preserve"> </w:t>
      </w:r>
      <w:r>
        <w:rPr>
          <w:rFonts w:hAnsi="Times New Roman"/>
          <w:szCs w:val="24"/>
          <w:lang w:val="es-AR"/>
        </w:rPr>
        <w:t>(</w:t>
      </w:r>
      <w:r w:rsidRPr="003C78B3">
        <w:rPr>
          <w:rFonts w:hAnsi="Times New Roman"/>
          <w:szCs w:val="24"/>
          <w:lang w:val="es-AR"/>
        </w:rPr>
        <w:t>1996</w:t>
      </w:r>
      <w:r>
        <w:rPr>
          <w:rFonts w:hAnsi="Times New Roman"/>
          <w:szCs w:val="24"/>
          <w:lang w:val="es-AR"/>
        </w:rPr>
        <w:t>),</w:t>
      </w:r>
      <w:r w:rsidRPr="003C78B3">
        <w:rPr>
          <w:rFonts w:hAnsi="Times New Roman"/>
          <w:szCs w:val="24"/>
          <w:lang w:val="es-AR"/>
        </w:rPr>
        <w:t xml:space="preserve"> “En enero habrá co</w:t>
      </w:r>
      <w:r>
        <w:rPr>
          <w:rFonts w:hAnsi="Times New Roman"/>
          <w:szCs w:val="24"/>
          <w:lang w:val="es-AR"/>
        </w:rPr>
        <w:t>nexiones con el satélite Nahuel</w:t>
      </w:r>
      <w:r w:rsidRPr="003C78B3">
        <w:rPr>
          <w:rFonts w:hAnsi="Times New Roman"/>
          <w:szCs w:val="24"/>
          <w:lang w:val="es-AR"/>
        </w:rPr>
        <w:t>”</w:t>
      </w:r>
      <w:r>
        <w:rPr>
          <w:rFonts w:hAnsi="Times New Roman"/>
          <w:szCs w:val="24"/>
          <w:lang w:val="es-AR"/>
        </w:rPr>
        <w:t>, 15 de diciembre</w:t>
      </w:r>
      <w:r w:rsidRPr="003C78B3">
        <w:rPr>
          <w:rFonts w:hAnsi="Times New Roman"/>
          <w:szCs w:val="24"/>
          <w:lang w:val="es-AR"/>
        </w:rPr>
        <w:t xml:space="preserve">. </w:t>
      </w:r>
    </w:p>
    <w:p w:rsidR="00E37579" w:rsidRPr="005F6194" w:rsidRDefault="00E37579" w:rsidP="0048076B">
      <w:pPr>
        <w:pStyle w:val="Predeterminado"/>
        <w:spacing w:line="360" w:lineRule="auto"/>
        <w:rPr>
          <w:spacing w:val="-15"/>
          <w:szCs w:val="24"/>
          <w:lang w:val="es-AR"/>
        </w:rPr>
      </w:pPr>
      <w:r w:rsidRPr="0048076B">
        <w:rPr>
          <w:rFonts w:hAnsi="Times New Roman"/>
          <w:i/>
          <w:szCs w:val="24"/>
          <w:lang w:val="es-AR"/>
        </w:rPr>
        <w:t>Clarín</w:t>
      </w:r>
      <w:r w:rsidRPr="0048076B">
        <w:rPr>
          <w:rFonts w:hAnsi="Times New Roman"/>
          <w:szCs w:val="24"/>
          <w:lang w:val="es-AR"/>
        </w:rPr>
        <w:t xml:space="preserve"> (1997), “</w:t>
      </w:r>
      <w:r w:rsidRPr="0048076B">
        <w:rPr>
          <w:spacing w:val="-15"/>
          <w:szCs w:val="24"/>
          <w:lang w:val="es-AR"/>
        </w:rPr>
        <w:t>Grupo Clar</w:t>
      </w:r>
      <w:r w:rsidRPr="0048076B">
        <w:rPr>
          <w:spacing w:val="-15"/>
          <w:szCs w:val="24"/>
          <w:lang w:val="es-AR"/>
        </w:rPr>
        <w:t>í</w:t>
      </w:r>
      <w:r w:rsidRPr="0048076B">
        <w:rPr>
          <w:spacing w:val="-15"/>
          <w:szCs w:val="24"/>
          <w:lang w:val="es-AR"/>
        </w:rPr>
        <w:t>n: acuerdo con Galaxy</w:t>
      </w:r>
      <w:r w:rsidRPr="0048076B">
        <w:rPr>
          <w:spacing w:val="-15"/>
          <w:szCs w:val="24"/>
          <w:lang w:val="es-AR"/>
        </w:rPr>
        <w:t>”</w:t>
      </w:r>
      <w:r w:rsidRPr="0048076B">
        <w:rPr>
          <w:spacing w:val="-15"/>
          <w:szCs w:val="24"/>
          <w:lang w:val="es-AR"/>
        </w:rPr>
        <w:t xml:space="preserve">, </w:t>
      </w:r>
      <w:r>
        <w:rPr>
          <w:spacing w:val="-15"/>
          <w:szCs w:val="24"/>
          <w:lang w:val="es-AR"/>
        </w:rPr>
        <w:t xml:space="preserve">14 de septiembre. </w:t>
      </w:r>
    </w:p>
    <w:p w:rsidR="00E37579" w:rsidRPr="00722093" w:rsidRDefault="00E37579" w:rsidP="007010F0">
      <w:pPr>
        <w:pStyle w:val="Predeterminado"/>
        <w:spacing w:line="360" w:lineRule="auto"/>
        <w:jc w:val="both"/>
        <w:rPr>
          <w:rFonts w:hAnsi="Times New Roman"/>
          <w:szCs w:val="24"/>
          <w:lang w:val="en-US"/>
        </w:rPr>
      </w:pPr>
      <w:proofErr w:type="spellStart"/>
      <w:r>
        <w:rPr>
          <w:rFonts w:hAnsi="Times New Roman"/>
          <w:lang w:val="en-US"/>
        </w:rPr>
        <w:t>Cimoli</w:t>
      </w:r>
      <w:proofErr w:type="spellEnd"/>
      <w:r>
        <w:rPr>
          <w:rFonts w:hAnsi="Times New Roman"/>
          <w:lang w:val="en-US"/>
        </w:rPr>
        <w:t>, M.</w:t>
      </w:r>
      <w:r w:rsidRPr="00722093">
        <w:rPr>
          <w:rFonts w:hAnsi="Times New Roman"/>
          <w:lang w:val="en-US"/>
        </w:rPr>
        <w:t xml:space="preserve">, </w:t>
      </w:r>
      <w:proofErr w:type="spellStart"/>
      <w:r w:rsidRPr="00722093">
        <w:rPr>
          <w:rFonts w:hAnsi="Times New Roman"/>
          <w:lang w:val="en-US"/>
        </w:rPr>
        <w:t>D</w:t>
      </w:r>
      <w:r>
        <w:rPr>
          <w:rFonts w:hAnsi="Times New Roman"/>
          <w:lang w:val="en-US"/>
        </w:rPr>
        <w:t>osi</w:t>
      </w:r>
      <w:proofErr w:type="spellEnd"/>
      <w:r>
        <w:rPr>
          <w:rFonts w:hAnsi="Times New Roman"/>
          <w:lang w:val="en-US"/>
        </w:rPr>
        <w:t>, G.</w:t>
      </w:r>
      <w:r w:rsidRPr="00722093">
        <w:rPr>
          <w:rFonts w:hAnsi="Times New Roman"/>
          <w:lang w:val="en-US"/>
        </w:rPr>
        <w:t xml:space="preserve"> y Stiglitz, J. (2009), </w:t>
      </w:r>
      <w:r w:rsidRPr="006F33CC">
        <w:rPr>
          <w:rFonts w:hAnsi="Times New Roman"/>
          <w:lang w:val="en-US"/>
        </w:rPr>
        <w:t>“The Political Economy of Capabilities Accumulation: The Past and Future of Policies for Industrial</w:t>
      </w:r>
      <w:r>
        <w:rPr>
          <w:rFonts w:hAnsi="Times New Roman"/>
          <w:lang w:val="en-US"/>
        </w:rPr>
        <w:t xml:space="preserve"> Development”, pp. 1-16. </w:t>
      </w:r>
      <w:proofErr w:type="spellStart"/>
      <w:r>
        <w:rPr>
          <w:rFonts w:hAnsi="Times New Roman"/>
          <w:lang w:val="en-US"/>
        </w:rPr>
        <w:t>En</w:t>
      </w:r>
      <w:proofErr w:type="spellEnd"/>
      <w:r>
        <w:rPr>
          <w:rFonts w:hAnsi="Times New Roman"/>
          <w:lang w:val="en-US"/>
        </w:rPr>
        <w:t xml:space="preserve">: </w:t>
      </w:r>
      <w:proofErr w:type="spellStart"/>
      <w:r w:rsidRPr="006F33CC">
        <w:rPr>
          <w:rFonts w:hAnsi="Times New Roman"/>
          <w:lang w:val="en-US"/>
        </w:rPr>
        <w:t>Cimoli</w:t>
      </w:r>
      <w:proofErr w:type="spellEnd"/>
      <w:r w:rsidRPr="006F33CC">
        <w:rPr>
          <w:rFonts w:hAnsi="Times New Roman"/>
          <w:lang w:val="en-US"/>
        </w:rPr>
        <w:t>,</w:t>
      </w:r>
      <w:r>
        <w:rPr>
          <w:rFonts w:hAnsi="Times New Roman"/>
          <w:lang w:val="en-US"/>
        </w:rPr>
        <w:t xml:space="preserve"> M., </w:t>
      </w:r>
      <w:proofErr w:type="spellStart"/>
      <w:r w:rsidRPr="006F33CC">
        <w:rPr>
          <w:rFonts w:hAnsi="Times New Roman"/>
          <w:lang w:val="en-US"/>
        </w:rPr>
        <w:t>Dosi</w:t>
      </w:r>
      <w:proofErr w:type="spellEnd"/>
      <w:r>
        <w:rPr>
          <w:rFonts w:hAnsi="Times New Roman"/>
          <w:lang w:val="en-US"/>
        </w:rPr>
        <w:t xml:space="preserve">, G. y </w:t>
      </w:r>
      <w:r w:rsidRPr="006F33CC">
        <w:rPr>
          <w:rFonts w:hAnsi="Times New Roman"/>
          <w:lang w:val="en-US"/>
        </w:rPr>
        <w:t>Stiglitz</w:t>
      </w:r>
      <w:r>
        <w:rPr>
          <w:rFonts w:hAnsi="Times New Roman"/>
          <w:lang w:val="en-US"/>
        </w:rPr>
        <w:t xml:space="preserve">, </w:t>
      </w:r>
      <w:r>
        <w:rPr>
          <w:rFonts w:hAnsi="Times New Roman"/>
          <w:lang w:val="en-US"/>
        </w:rPr>
        <w:lastRenderedPageBreak/>
        <w:t>J.</w:t>
      </w:r>
      <w:r w:rsidRPr="006F33CC">
        <w:rPr>
          <w:rFonts w:hAnsi="Times New Roman"/>
          <w:lang w:val="en-US"/>
        </w:rPr>
        <w:t xml:space="preserve"> (eds.), </w:t>
      </w:r>
      <w:r w:rsidRPr="006F33CC">
        <w:rPr>
          <w:rFonts w:hAnsi="Times New Roman"/>
          <w:i/>
          <w:lang w:val="en-US"/>
        </w:rPr>
        <w:t>Industrial Policy and Development. The Political Economy of Capabilities Accumulation</w:t>
      </w:r>
      <w:r>
        <w:rPr>
          <w:rFonts w:hAnsi="Times New Roman"/>
          <w:lang w:val="en-US"/>
        </w:rPr>
        <w:t>,</w:t>
      </w:r>
      <w:r w:rsidRPr="006F33CC">
        <w:rPr>
          <w:rFonts w:hAnsi="Times New Roman"/>
          <w:lang w:val="en-US"/>
        </w:rPr>
        <w:t xml:space="preserve"> O</w:t>
      </w:r>
      <w:r>
        <w:rPr>
          <w:rFonts w:hAnsi="Times New Roman"/>
          <w:lang w:val="en-US"/>
        </w:rPr>
        <w:t>xford,</w:t>
      </w:r>
      <w:r w:rsidRPr="006F33CC">
        <w:rPr>
          <w:rFonts w:hAnsi="Times New Roman"/>
          <w:lang w:val="en-US"/>
        </w:rPr>
        <w:t xml:space="preserve"> Oxford University Press.</w:t>
      </w:r>
    </w:p>
    <w:p w:rsidR="00E37579" w:rsidRDefault="00E37579" w:rsidP="00EB2ADC">
      <w:pPr>
        <w:pStyle w:val="Predeterminado"/>
        <w:spacing w:line="360" w:lineRule="auto"/>
        <w:jc w:val="both"/>
        <w:rPr>
          <w:lang w:val="en-US"/>
        </w:rPr>
      </w:pPr>
      <w:r w:rsidRPr="007010F0">
        <w:rPr>
          <w:lang w:val="en-US"/>
        </w:rPr>
        <w:t xml:space="preserve">Correa, C. (2000), </w:t>
      </w:r>
      <w:r w:rsidRPr="00EA202C">
        <w:rPr>
          <w:i/>
          <w:iCs/>
          <w:lang w:val="en-US"/>
        </w:rPr>
        <w:t>Intellectual Property Rights, the WTO and Developing Countries: The TRIPS Agreement and Policy Options</w:t>
      </w:r>
      <w:r>
        <w:rPr>
          <w:lang w:val="en-US"/>
        </w:rPr>
        <w:t>, London,</w:t>
      </w:r>
      <w:r w:rsidRPr="00EA202C">
        <w:rPr>
          <w:lang w:val="en-US"/>
        </w:rPr>
        <w:t xml:space="preserve"> Zed Books.</w:t>
      </w:r>
    </w:p>
    <w:p w:rsidR="00E37579" w:rsidRPr="007D52F0" w:rsidRDefault="00E37579" w:rsidP="00EB2ADC">
      <w:pPr>
        <w:pStyle w:val="Predeterminado"/>
        <w:spacing w:line="360" w:lineRule="auto"/>
        <w:jc w:val="both"/>
        <w:rPr>
          <w:lang w:val="es-AR"/>
        </w:rPr>
      </w:pPr>
      <w:r w:rsidRPr="007D52F0">
        <w:rPr>
          <w:rFonts w:hAnsi="Times New Roman"/>
          <w:szCs w:val="24"/>
          <w:lang w:val="es-AR"/>
        </w:rPr>
        <w:t xml:space="preserve">De </w:t>
      </w:r>
      <w:proofErr w:type="spellStart"/>
      <w:r w:rsidRPr="007D52F0">
        <w:rPr>
          <w:rFonts w:hAnsi="Times New Roman"/>
          <w:szCs w:val="24"/>
          <w:lang w:val="es-AR"/>
        </w:rPr>
        <w:t>Moura</w:t>
      </w:r>
      <w:proofErr w:type="spellEnd"/>
      <w:r w:rsidRPr="007D52F0">
        <w:rPr>
          <w:rFonts w:hAnsi="Times New Roman"/>
          <w:szCs w:val="24"/>
          <w:lang w:val="es-AR"/>
        </w:rPr>
        <w:t xml:space="preserve"> Castro, C., Wolff, L. y </w:t>
      </w:r>
      <w:proofErr w:type="spellStart"/>
      <w:r w:rsidRPr="007D52F0">
        <w:rPr>
          <w:rFonts w:hAnsi="Times New Roman"/>
          <w:szCs w:val="24"/>
          <w:lang w:val="es-AR"/>
        </w:rPr>
        <w:t>Alic</w:t>
      </w:r>
      <w:proofErr w:type="spellEnd"/>
      <w:r w:rsidRPr="007D52F0">
        <w:rPr>
          <w:rFonts w:hAnsi="Times New Roman"/>
          <w:szCs w:val="24"/>
          <w:lang w:val="es-AR"/>
        </w:rPr>
        <w:t>, J.</w:t>
      </w:r>
      <w:r>
        <w:rPr>
          <w:rFonts w:hAnsi="Times New Roman"/>
          <w:szCs w:val="24"/>
          <w:lang w:val="es-AR"/>
        </w:rPr>
        <w:t xml:space="preserve"> (2000)</w:t>
      </w:r>
      <w:r w:rsidRPr="007D52F0">
        <w:rPr>
          <w:rFonts w:hAnsi="Times New Roman"/>
          <w:szCs w:val="24"/>
          <w:lang w:val="es-AR"/>
        </w:rPr>
        <w:t xml:space="preserve">, “La ciencia y la tecnología para el desarrollo. Una estrategia del BID”, Washington, D.C., BID, </w:t>
      </w:r>
      <w:r w:rsidRPr="007D52F0">
        <w:rPr>
          <w:rFonts w:hAnsi="Times New Roman"/>
          <w:bCs/>
          <w:szCs w:val="24"/>
          <w:lang w:val="es-AR"/>
        </w:rPr>
        <w:t>Serie de informes de políticas y estrategias sectoriales del Departamento de Desarrollo Sostenible.</w:t>
      </w:r>
    </w:p>
    <w:p w:rsidR="00E37579" w:rsidRPr="00B82902" w:rsidRDefault="00E37579" w:rsidP="008470E8">
      <w:pPr>
        <w:pStyle w:val="Predeterminado"/>
        <w:spacing w:line="360" w:lineRule="auto"/>
        <w:jc w:val="both"/>
        <w:rPr>
          <w:rFonts w:hAnsi="Times New Roman"/>
          <w:szCs w:val="24"/>
          <w:lang w:val="es-AR"/>
        </w:rPr>
      </w:pPr>
      <w:proofErr w:type="spellStart"/>
      <w:r>
        <w:rPr>
          <w:rFonts w:hAnsi="Times New Roman"/>
          <w:lang w:val="es-AR"/>
        </w:rPr>
        <w:t>Elzinga</w:t>
      </w:r>
      <w:proofErr w:type="spellEnd"/>
      <w:r>
        <w:rPr>
          <w:rFonts w:hAnsi="Times New Roman"/>
          <w:lang w:val="es-AR"/>
        </w:rPr>
        <w:t xml:space="preserve">, A. y </w:t>
      </w:r>
      <w:proofErr w:type="spellStart"/>
      <w:r>
        <w:rPr>
          <w:rFonts w:hAnsi="Times New Roman"/>
          <w:lang w:val="es-AR"/>
        </w:rPr>
        <w:t>Jamison</w:t>
      </w:r>
      <w:proofErr w:type="spellEnd"/>
      <w:r>
        <w:rPr>
          <w:rFonts w:hAnsi="Times New Roman"/>
          <w:lang w:val="es-AR"/>
        </w:rPr>
        <w:t xml:space="preserve">, A. (1996), “El cambio de las agendas políticas en ciencia y tecnología”, </w:t>
      </w:r>
      <w:r w:rsidRPr="000B3073">
        <w:rPr>
          <w:rFonts w:hAnsi="Times New Roman"/>
          <w:i/>
          <w:iCs/>
          <w:szCs w:val="24"/>
          <w:lang w:val="es-AR"/>
        </w:rPr>
        <w:t>Zona Abierta</w:t>
      </w:r>
      <w:r>
        <w:rPr>
          <w:rFonts w:hAnsi="Times New Roman"/>
          <w:iCs/>
          <w:szCs w:val="24"/>
          <w:lang w:val="es-AR"/>
        </w:rPr>
        <w:t>, núm.</w:t>
      </w:r>
      <w:r w:rsidRPr="000B3073">
        <w:rPr>
          <w:rFonts w:hAnsi="Times New Roman"/>
          <w:i/>
          <w:iCs/>
          <w:szCs w:val="24"/>
          <w:lang w:val="es-AR"/>
        </w:rPr>
        <w:t xml:space="preserve"> 75/76</w:t>
      </w:r>
      <w:r w:rsidRPr="000B3073">
        <w:rPr>
          <w:rFonts w:hAnsi="Times New Roman"/>
          <w:szCs w:val="24"/>
          <w:lang w:val="es-AR"/>
        </w:rPr>
        <w:t>,</w:t>
      </w:r>
      <w:r w:rsidRPr="000B3073">
        <w:rPr>
          <w:szCs w:val="24"/>
          <w:lang w:val="es-AR"/>
        </w:rPr>
        <w:t xml:space="preserve"> pp. 91-132</w:t>
      </w:r>
      <w:r w:rsidRPr="000B3073">
        <w:rPr>
          <w:rFonts w:hAnsi="Times New Roman"/>
          <w:szCs w:val="24"/>
          <w:lang w:val="es-AR"/>
        </w:rPr>
        <w:t xml:space="preserve">. </w:t>
      </w:r>
    </w:p>
    <w:p w:rsidR="00E37579" w:rsidRPr="00B82902" w:rsidRDefault="00E37579" w:rsidP="008470E8">
      <w:pPr>
        <w:pStyle w:val="Predeterminado"/>
        <w:spacing w:line="360" w:lineRule="auto"/>
        <w:jc w:val="both"/>
        <w:rPr>
          <w:rFonts w:hAnsi="Times New Roman"/>
          <w:szCs w:val="24"/>
          <w:lang w:val="en-US"/>
        </w:rPr>
      </w:pPr>
      <w:proofErr w:type="spellStart"/>
      <w:r w:rsidRPr="00B82902">
        <w:rPr>
          <w:rFonts w:hAnsi="Times New Roman"/>
          <w:kern w:val="0"/>
          <w:szCs w:val="24"/>
          <w:lang w:val="en-US"/>
        </w:rPr>
        <w:t>Ergas</w:t>
      </w:r>
      <w:proofErr w:type="spellEnd"/>
      <w:r w:rsidRPr="00B82902">
        <w:rPr>
          <w:rFonts w:hAnsi="Times New Roman"/>
          <w:kern w:val="0"/>
          <w:szCs w:val="24"/>
          <w:lang w:val="en-US"/>
        </w:rPr>
        <w:t xml:space="preserve">, H. (1987), “Does technology policy matter”, </w:t>
      </w:r>
      <w:r w:rsidRPr="00B82902">
        <w:rPr>
          <w:rFonts w:hAnsi="Times New Roman"/>
          <w:kern w:val="0"/>
          <w:szCs w:val="24"/>
        </w:rPr>
        <w:t>pp. 191-245. En: Guile, B. y Brooks, H. (eds.),</w:t>
      </w:r>
      <w:r w:rsidRPr="00B82902">
        <w:rPr>
          <w:rFonts w:hAnsi="Times New Roman"/>
          <w:kern w:val="0"/>
          <w:szCs w:val="24"/>
          <w:lang w:val="en-US"/>
        </w:rPr>
        <w:t xml:space="preserve"> </w:t>
      </w:r>
      <w:r w:rsidRPr="00B82902">
        <w:rPr>
          <w:rFonts w:hAnsi="Times New Roman"/>
          <w:i/>
          <w:iCs/>
          <w:kern w:val="0"/>
          <w:szCs w:val="24"/>
          <w:lang w:val="en-US"/>
        </w:rPr>
        <w:t>Technology and global</w:t>
      </w:r>
      <w:r w:rsidRPr="00B82902">
        <w:rPr>
          <w:rFonts w:hAnsi="Times New Roman"/>
          <w:szCs w:val="24"/>
          <w:lang w:val="en-US"/>
        </w:rPr>
        <w:t xml:space="preserve"> </w:t>
      </w:r>
      <w:r w:rsidRPr="00B82902">
        <w:rPr>
          <w:rFonts w:hAnsi="Times New Roman"/>
          <w:i/>
          <w:iCs/>
          <w:kern w:val="0"/>
          <w:szCs w:val="24"/>
        </w:rPr>
        <w:t>industry: Companies and nations in the world economy</w:t>
      </w:r>
      <w:r w:rsidRPr="00B82902">
        <w:rPr>
          <w:rFonts w:hAnsi="Times New Roman"/>
          <w:kern w:val="0"/>
          <w:szCs w:val="24"/>
        </w:rPr>
        <w:t>, Washington, DC, National Academy Press.</w:t>
      </w:r>
    </w:p>
    <w:p w:rsidR="00E37579" w:rsidRDefault="00E37579" w:rsidP="000B3073">
      <w:pPr>
        <w:pStyle w:val="Predeterminado"/>
        <w:spacing w:line="360" w:lineRule="auto"/>
        <w:jc w:val="both"/>
        <w:rPr>
          <w:bCs/>
          <w:lang w:val="en-US"/>
        </w:rPr>
      </w:pPr>
      <w:proofErr w:type="spellStart"/>
      <w:r w:rsidRPr="00B82902">
        <w:rPr>
          <w:rFonts w:hAnsi="Times New Roman"/>
          <w:bCs/>
          <w:lang w:val="en-US"/>
        </w:rPr>
        <w:t>Etzkowitz</w:t>
      </w:r>
      <w:proofErr w:type="spellEnd"/>
      <w:r w:rsidRPr="00B82902">
        <w:rPr>
          <w:rFonts w:hAnsi="Times New Roman"/>
          <w:bCs/>
          <w:lang w:val="en-US"/>
        </w:rPr>
        <w:t xml:space="preserve">, H., </w:t>
      </w:r>
      <w:proofErr w:type="spellStart"/>
      <w:r w:rsidRPr="00B82902">
        <w:rPr>
          <w:rFonts w:hAnsi="Times New Roman"/>
          <w:bCs/>
          <w:lang w:val="en-US"/>
        </w:rPr>
        <w:t>Ranga</w:t>
      </w:r>
      <w:proofErr w:type="spellEnd"/>
      <w:r w:rsidRPr="00B82902">
        <w:rPr>
          <w:rFonts w:hAnsi="Times New Roman"/>
          <w:bCs/>
          <w:lang w:val="en-US"/>
        </w:rPr>
        <w:t xml:space="preserve">, M., Benner, M., </w:t>
      </w:r>
      <w:proofErr w:type="spellStart"/>
      <w:r w:rsidRPr="00B82902">
        <w:rPr>
          <w:rFonts w:hAnsi="Times New Roman"/>
          <w:bCs/>
          <w:lang w:val="en-US"/>
        </w:rPr>
        <w:t>Guarany</w:t>
      </w:r>
      <w:r w:rsidRPr="00EA202C">
        <w:rPr>
          <w:bCs/>
          <w:lang w:val="en-US"/>
        </w:rPr>
        <w:t>s</w:t>
      </w:r>
      <w:proofErr w:type="spellEnd"/>
      <w:r w:rsidRPr="00EA202C">
        <w:rPr>
          <w:bCs/>
          <w:lang w:val="en-US"/>
        </w:rPr>
        <w:t xml:space="preserve">, L., </w:t>
      </w:r>
      <w:proofErr w:type="spellStart"/>
      <w:r w:rsidRPr="00EA202C">
        <w:rPr>
          <w:bCs/>
          <w:lang w:val="en-US"/>
        </w:rPr>
        <w:t>Maculan</w:t>
      </w:r>
      <w:proofErr w:type="spellEnd"/>
      <w:r w:rsidRPr="00EA202C">
        <w:rPr>
          <w:bCs/>
          <w:lang w:val="en-US"/>
        </w:rPr>
        <w:t xml:space="preserve">, A. y Kneller, R. </w:t>
      </w:r>
      <w:r>
        <w:rPr>
          <w:bCs/>
          <w:lang w:val="en-US"/>
        </w:rPr>
        <w:t>(2008),</w:t>
      </w:r>
      <w:r w:rsidRPr="00EA202C">
        <w:rPr>
          <w:bCs/>
          <w:lang w:val="en-US"/>
        </w:rPr>
        <w:t xml:space="preserve"> </w:t>
      </w:r>
      <w:r w:rsidRPr="00EA202C">
        <w:rPr>
          <w:bCs/>
          <w:lang w:val="en-US"/>
        </w:rPr>
        <w:t>“</w:t>
      </w:r>
      <w:r w:rsidRPr="00EA202C">
        <w:rPr>
          <w:bCs/>
          <w:lang w:val="en-US"/>
        </w:rPr>
        <w:t>Pathways to the entrepreneurial university: towards a global convergence</w:t>
      </w:r>
      <w:r w:rsidRPr="00EA202C">
        <w:rPr>
          <w:bCs/>
          <w:lang w:val="en-US"/>
        </w:rPr>
        <w:t>”</w:t>
      </w:r>
      <w:r w:rsidRPr="00EA202C">
        <w:rPr>
          <w:bCs/>
          <w:lang w:val="en-US"/>
        </w:rPr>
        <w:t xml:space="preserve">, </w:t>
      </w:r>
      <w:r w:rsidRPr="00EA202C">
        <w:rPr>
          <w:bCs/>
          <w:i/>
          <w:lang w:val="en-US"/>
        </w:rPr>
        <w:t>Science and Public Policy</w:t>
      </w:r>
      <w:r w:rsidRPr="00EA202C">
        <w:rPr>
          <w:bCs/>
          <w:lang w:val="en-US"/>
        </w:rPr>
        <w:t xml:space="preserve">, vol. 35, </w:t>
      </w:r>
      <w:proofErr w:type="spellStart"/>
      <w:r w:rsidRPr="00EA202C">
        <w:rPr>
          <w:bCs/>
          <w:lang w:val="en-US"/>
        </w:rPr>
        <w:t>n</w:t>
      </w:r>
      <w:r w:rsidRPr="00EA202C">
        <w:rPr>
          <w:bCs/>
          <w:lang w:val="en-US"/>
        </w:rPr>
        <w:t>ú</w:t>
      </w:r>
      <w:r w:rsidRPr="00EA202C">
        <w:rPr>
          <w:bCs/>
          <w:lang w:val="en-US"/>
        </w:rPr>
        <w:t>m</w:t>
      </w:r>
      <w:proofErr w:type="spellEnd"/>
      <w:r w:rsidRPr="00EA202C">
        <w:rPr>
          <w:bCs/>
          <w:lang w:val="en-US"/>
        </w:rPr>
        <w:t>. 9, pp. 681-695.</w:t>
      </w:r>
    </w:p>
    <w:p w:rsidR="00E37579" w:rsidRDefault="00E37579" w:rsidP="000B3073">
      <w:pPr>
        <w:pStyle w:val="Predeterminado"/>
        <w:spacing w:line="360" w:lineRule="auto"/>
        <w:jc w:val="both"/>
        <w:rPr>
          <w:szCs w:val="24"/>
          <w:lang w:val="en-US"/>
        </w:rPr>
      </w:pPr>
      <w:r w:rsidRPr="00845F87">
        <w:rPr>
          <w:szCs w:val="24"/>
          <w:lang w:val="en-US"/>
        </w:rPr>
        <w:t xml:space="preserve">Evans, P. (1979), </w:t>
      </w:r>
      <w:r w:rsidRPr="00845F87">
        <w:rPr>
          <w:i/>
          <w:szCs w:val="24"/>
          <w:lang w:val="en-US"/>
        </w:rPr>
        <w:t xml:space="preserve">Dependent Development. </w:t>
      </w:r>
      <w:r w:rsidRPr="000B3073">
        <w:rPr>
          <w:i/>
          <w:szCs w:val="24"/>
          <w:lang w:val="en-US"/>
        </w:rPr>
        <w:t>The Alliance of Multinational, State, and Local Capital in Brazil</w:t>
      </w:r>
      <w:r w:rsidRPr="000B3073">
        <w:rPr>
          <w:szCs w:val="24"/>
          <w:lang w:val="en-US"/>
        </w:rPr>
        <w:t>,</w:t>
      </w:r>
      <w:r>
        <w:rPr>
          <w:szCs w:val="24"/>
          <w:lang w:val="en-US"/>
        </w:rPr>
        <w:t xml:space="preserve"> New Jersey,</w:t>
      </w:r>
      <w:r w:rsidRPr="000B3073">
        <w:rPr>
          <w:szCs w:val="24"/>
          <w:lang w:val="en-US"/>
        </w:rPr>
        <w:t xml:space="preserve"> Princeton University Press.</w:t>
      </w:r>
    </w:p>
    <w:p w:rsidR="00E37579" w:rsidRDefault="00E37579" w:rsidP="000B3073">
      <w:pPr>
        <w:pStyle w:val="Predeterminado"/>
        <w:spacing w:line="360" w:lineRule="auto"/>
        <w:jc w:val="both"/>
        <w:rPr>
          <w:szCs w:val="22"/>
          <w:lang w:val="en-US"/>
        </w:rPr>
      </w:pPr>
      <w:r>
        <w:rPr>
          <w:szCs w:val="22"/>
          <w:lang w:val="en-US"/>
        </w:rPr>
        <w:t>Furtado, C</w:t>
      </w:r>
      <w:r w:rsidRPr="00BA17BA">
        <w:rPr>
          <w:szCs w:val="22"/>
          <w:lang w:val="en-US"/>
        </w:rPr>
        <w:t xml:space="preserve">. </w:t>
      </w:r>
      <w:r>
        <w:rPr>
          <w:szCs w:val="22"/>
          <w:lang w:val="en-US"/>
        </w:rPr>
        <w:t>(1970),</w:t>
      </w:r>
      <w:r w:rsidRPr="00BA17BA">
        <w:rPr>
          <w:szCs w:val="22"/>
          <w:lang w:val="en-US"/>
        </w:rPr>
        <w:t xml:space="preserve"> </w:t>
      </w:r>
      <w:r w:rsidRPr="00BA17BA">
        <w:rPr>
          <w:i/>
          <w:szCs w:val="22"/>
          <w:lang w:val="en-US"/>
        </w:rPr>
        <w:t>Economic Development of Latin America</w:t>
      </w:r>
      <w:r>
        <w:rPr>
          <w:szCs w:val="22"/>
          <w:lang w:val="en-US"/>
        </w:rPr>
        <w:t>, Cambridge,</w:t>
      </w:r>
      <w:r w:rsidRPr="00BA17BA">
        <w:rPr>
          <w:szCs w:val="22"/>
          <w:lang w:val="en-US"/>
        </w:rPr>
        <w:t xml:space="preserve"> Cambridge University Press.</w:t>
      </w:r>
    </w:p>
    <w:p w:rsidR="00E37579" w:rsidRPr="002D5FE2" w:rsidRDefault="00E37579" w:rsidP="000B3073">
      <w:pPr>
        <w:pStyle w:val="Predeterminado"/>
        <w:spacing w:line="360" w:lineRule="auto"/>
        <w:jc w:val="both"/>
        <w:rPr>
          <w:szCs w:val="22"/>
          <w:lang w:val="es-AR"/>
        </w:rPr>
      </w:pPr>
      <w:r>
        <w:rPr>
          <w:lang w:val="es-AR"/>
        </w:rPr>
        <w:t xml:space="preserve">Herrera, A. (1975 [1973]), </w:t>
      </w:r>
      <w:r>
        <w:rPr>
          <w:lang w:val="es-AR"/>
        </w:rPr>
        <w:t>“</w:t>
      </w:r>
      <w:r w:rsidRPr="002D5FE2">
        <w:rPr>
          <w:lang w:val="es-AR"/>
        </w:rPr>
        <w:t>Los determinantes sociales de la pol</w:t>
      </w:r>
      <w:r w:rsidRPr="002D5FE2">
        <w:rPr>
          <w:lang w:val="es-AR"/>
        </w:rPr>
        <w:t>í</w:t>
      </w:r>
      <w:r w:rsidRPr="002D5FE2">
        <w:rPr>
          <w:lang w:val="es-AR"/>
        </w:rPr>
        <w:t>tica cient</w:t>
      </w:r>
      <w:r w:rsidRPr="002D5FE2">
        <w:rPr>
          <w:lang w:val="es-AR"/>
        </w:rPr>
        <w:t>í</w:t>
      </w:r>
      <w:r w:rsidRPr="002D5FE2">
        <w:rPr>
          <w:lang w:val="es-AR"/>
        </w:rPr>
        <w:t>fica en Am</w:t>
      </w:r>
      <w:r w:rsidRPr="002D5FE2">
        <w:rPr>
          <w:lang w:val="es-AR"/>
        </w:rPr>
        <w:t>é</w:t>
      </w:r>
      <w:r w:rsidRPr="002D5FE2">
        <w:rPr>
          <w:lang w:val="es-AR"/>
        </w:rPr>
        <w:t>rica Latina: pol</w:t>
      </w:r>
      <w:r w:rsidRPr="002D5FE2">
        <w:rPr>
          <w:lang w:val="es-AR"/>
        </w:rPr>
        <w:t>í</w:t>
      </w:r>
      <w:r w:rsidRPr="002D5FE2">
        <w:rPr>
          <w:lang w:val="es-AR"/>
        </w:rPr>
        <w:t>tica cient</w:t>
      </w:r>
      <w:r w:rsidRPr="002D5FE2">
        <w:rPr>
          <w:lang w:val="es-AR"/>
        </w:rPr>
        <w:t>í</w:t>
      </w:r>
      <w:r w:rsidRPr="002D5FE2">
        <w:rPr>
          <w:lang w:val="es-AR"/>
        </w:rPr>
        <w:t>fica expl</w:t>
      </w:r>
      <w:r w:rsidRPr="002D5FE2">
        <w:rPr>
          <w:lang w:val="es-AR"/>
        </w:rPr>
        <w:t>í</w:t>
      </w:r>
      <w:r w:rsidRPr="002D5FE2">
        <w:rPr>
          <w:lang w:val="es-AR"/>
        </w:rPr>
        <w:t>cita y pol</w:t>
      </w:r>
      <w:r w:rsidRPr="002D5FE2">
        <w:rPr>
          <w:lang w:val="es-AR"/>
        </w:rPr>
        <w:t>í</w:t>
      </w:r>
      <w:r w:rsidRPr="002D5FE2">
        <w:rPr>
          <w:lang w:val="es-AR"/>
        </w:rPr>
        <w:t>tica cient</w:t>
      </w:r>
      <w:r w:rsidRPr="002D5FE2">
        <w:rPr>
          <w:lang w:val="es-AR"/>
        </w:rPr>
        <w:t>í</w:t>
      </w:r>
      <w:r w:rsidRPr="002D5FE2">
        <w:rPr>
          <w:lang w:val="es-AR"/>
        </w:rPr>
        <w:t>fica impl</w:t>
      </w:r>
      <w:r w:rsidRPr="002D5FE2">
        <w:rPr>
          <w:lang w:val="es-AR"/>
        </w:rPr>
        <w:t>í</w:t>
      </w:r>
      <w:r w:rsidRPr="002D5FE2">
        <w:rPr>
          <w:lang w:val="es-AR"/>
        </w:rPr>
        <w:t>cita</w:t>
      </w:r>
      <w:r w:rsidRPr="002D5FE2">
        <w:rPr>
          <w:lang w:val="es-AR"/>
        </w:rPr>
        <w:t>”</w:t>
      </w:r>
      <w:r>
        <w:rPr>
          <w:lang w:val="es-AR"/>
        </w:rPr>
        <w:t>, pp. 98-112.</w:t>
      </w:r>
      <w:r w:rsidRPr="002D5FE2">
        <w:rPr>
          <w:lang w:val="es-AR"/>
        </w:rPr>
        <w:t xml:space="preserve"> </w:t>
      </w:r>
      <w:r>
        <w:rPr>
          <w:lang w:val="es-AR"/>
        </w:rPr>
        <w:t xml:space="preserve">En. </w:t>
      </w:r>
      <w:r w:rsidRPr="002D5FE2">
        <w:rPr>
          <w:lang w:val="es-AR"/>
        </w:rPr>
        <w:t>S</w:t>
      </w:r>
      <w:r w:rsidRPr="002D5FE2">
        <w:rPr>
          <w:lang w:val="es-AR"/>
        </w:rPr>
        <w:t>á</w:t>
      </w:r>
      <w:r>
        <w:rPr>
          <w:lang w:val="es-AR"/>
        </w:rPr>
        <w:t>bato, J. (</w:t>
      </w:r>
      <w:proofErr w:type="spellStart"/>
      <w:r>
        <w:rPr>
          <w:lang w:val="es-AR"/>
        </w:rPr>
        <w:t>comp.</w:t>
      </w:r>
      <w:proofErr w:type="spellEnd"/>
      <w:r>
        <w:rPr>
          <w:lang w:val="es-AR"/>
        </w:rPr>
        <w:t>),</w:t>
      </w:r>
      <w:r w:rsidRPr="002D5FE2">
        <w:rPr>
          <w:lang w:val="es-AR"/>
        </w:rPr>
        <w:t xml:space="preserve"> </w:t>
      </w:r>
      <w:r w:rsidRPr="002D5FE2">
        <w:rPr>
          <w:i/>
          <w:lang w:val="es-AR"/>
        </w:rPr>
        <w:t>El pensamiento latinoamericano en la problem</w:t>
      </w:r>
      <w:r w:rsidRPr="002D5FE2">
        <w:rPr>
          <w:i/>
          <w:lang w:val="es-AR"/>
        </w:rPr>
        <w:t>á</w:t>
      </w:r>
      <w:r w:rsidRPr="002D5FE2">
        <w:rPr>
          <w:i/>
          <w:lang w:val="es-AR"/>
        </w:rPr>
        <w:t>tica ciencia, tecnolog</w:t>
      </w:r>
      <w:r w:rsidRPr="002D5FE2">
        <w:rPr>
          <w:i/>
          <w:lang w:val="es-AR"/>
        </w:rPr>
        <w:t>í</w:t>
      </w:r>
      <w:r w:rsidRPr="002D5FE2">
        <w:rPr>
          <w:i/>
          <w:lang w:val="es-AR"/>
        </w:rPr>
        <w:t>a, desarrollo, dependencia,</w:t>
      </w:r>
      <w:r w:rsidRPr="002D5FE2">
        <w:rPr>
          <w:lang w:val="es-AR"/>
        </w:rPr>
        <w:t xml:space="preserve"> </w:t>
      </w:r>
      <w:r>
        <w:rPr>
          <w:lang w:val="es-AR"/>
        </w:rPr>
        <w:t>Buenos Aires, Paid</w:t>
      </w:r>
      <w:r>
        <w:rPr>
          <w:lang w:val="es-AR"/>
        </w:rPr>
        <w:t>ó</w:t>
      </w:r>
      <w:r>
        <w:rPr>
          <w:lang w:val="es-AR"/>
        </w:rPr>
        <w:t>s</w:t>
      </w:r>
      <w:r w:rsidRPr="002D5FE2">
        <w:rPr>
          <w:lang w:val="es-AR"/>
        </w:rPr>
        <w:t>.</w:t>
      </w:r>
    </w:p>
    <w:p w:rsidR="00E37579" w:rsidRDefault="00E37579" w:rsidP="00EB2ADC">
      <w:pPr>
        <w:pStyle w:val="Predeterminado"/>
        <w:spacing w:line="360" w:lineRule="auto"/>
        <w:jc w:val="both"/>
        <w:rPr>
          <w:rFonts w:hAnsi="Times New Roman"/>
          <w:bCs/>
          <w:szCs w:val="24"/>
          <w:lang w:val="es-AR"/>
        </w:rPr>
      </w:pPr>
      <w:r w:rsidRPr="000B3073">
        <w:rPr>
          <w:rFonts w:hAnsi="Times New Roman"/>
          <w:szCs w:val="24"/>
          <w:lang w:val="es-AR"/>
        </w:rPr>
        <w:t xml:space="preserve">Hurtado, D. y </w:t>
      </w:r>
      <w:proofErr w:type="spellStart"/>
      <w:r w:rsidRPr="000B3073">
        <w:rPr>
          <w:rFonts w:hAnsi="Times New Roman"/>
          <w:szCs w:val="24"/>
          <w:lang w:val="es-AR"/>
        </w:rPr>
        <w:t>Mallo</w:t>
      </w:r>
      <w:proofErr w:type="spellEnd"/>
      <w:r w:rsidRPr="000B3073">
        <w:rPr>
          <w:rFonts w:hAnsi="Times New Roman"/>
          <w:szCs w:val="24"/>
          <w:lang w:val="es-AR"/>
        </w:rPr>
        <w:t>, E. (2013), “</w:t>
      </w:r>
      <w:r w:rsidRPr="000B3073">
        <w:rPr>
          <w:rFonts w:hAnsi="Times New Roman"/>
          <w:bCs/>
          <w:szCs w:val="24"/>
          <w:lang w:val="es-AR"/>
        </w:rPr>
        <w:t xml:space="preserve">Riesgos teóricos y agendas de políticas de ciencia y tecnología: el </w:t>
      </w:r>
      <w:r w:rsidRPr="001C127B">
        <w:rPr>
          <w:rFonts w:hAnsi="Times New Roman"/>
          <w:bCs/>
          <w:szCs w:val="24"/>
          <w:lang w:val="es-AR"/>
        </w:rPr>
        <w:t>“mal del modelo lineal” y las instituciones como cajas negras</w:t>
      </w:r>
      <w:r w:rsidRPr="001C127B">
        <w:rPr>
          <w:rFonts w:hAnsi="Times New Roman"/>
          <w:szCs w:val="24"/>
          <w:lang w:val="es-AR"/>
        </w:rPr>
        <w:t xml:space="preserve">”, pp. 449-476. En: </w:t>
      </w:r>
      <w:proofErr w:type="spellStart"/>
      <w:r w:rsidRPr="001C127B">
        <w:rPr>
          <w:rFonts w:hAnsi="Times New Roman"/>
          <w:bCs/>
          <w:szCs w:val="24"/>
          <w:lang w:val="es-AR"/>
        </w:rPr>
        <w:t>Kozel</w:t>
      </w:r>
      <w:proofErr w:type="spellEnd"/>
      <w:r w:rsidRPr="001C127B">
        <w:rPr>
          <w:rFonts w:hAnsi="Times New Roman"/>
          <w:bCs/>
          <w:szCs w:val="24"/>
          <w:lang w:val="es-AR"/>
        </w:rPr>
        <w:t>,</w:t>
      </w:r>
      <w:r>
        <w:rPr>
          <w:rFonts w:hAnsi="Times New Roman"/>
          <w:bCs/>
          <w:szCs w:val="24"/>
          <w:lang w:val="es-AR"/>
        </w:rPr>
        <w:t xml:space="preserve"> A.,</w:t>
      </w:r>
      <w:r w:rsidRPr="001C127B">
        <w:rPr>
          <w:rFonts w:hAnsi="Times New Roman"/>
          <w:bCs/>
          <w:szCs w:val="24"/>
          <w:lang w:val="es-AR"/>
        </w:rPr>
        <w:t xml:space="preserve"> Crespo</w:t>
      </w:r>
      <w:r>
        <w:rPr>
          <w:rFonts w:hAnsi="Times New Roman"/>
          <w:bCs/>
          <w:szCs w:val="24"/>
          <w:lang w:val="es-AR"/>
        </w:rPr>
        <w:t xml:space="preserve">, H. y </w:t>
      </w:r>
      <w:r w:rsidRPr="001C127B">
        <w:rPr>
          <w:rFonts w:hAnsi="Times New Roman"/>
          <w:bCs/>
          <w:szCs w:val="24"/>
          <w:lang w:val="es-AR"/>
        </w:rPr>
        <w:t>Palma</w:t>
      </w:r>
      <w:r>
        <w:rPr>
          <w:rFonts w:hAnsi="Times New Roman"/>
          <w:bCs/>
          <w:szCs w:val="24"/>
          <w:lang w:val="es-AR"/>
        </w:rPr>
        <w:t>, H. (</w:t>
      </w:r>
      <w:proofErr w:type="spellStart"/>
      <w:r>
        <w:rPr>
          <w:rFonts w:hAnsi="Times New Roman"/>
          <w:bCs/>
          <w:szCs w:val="24"/>
          <w:lang w:val="es-AR"/>
        </w:rPr>
        <w:t>comps</w:t>
      </w:r>
      <w:proofErr w:type="spellEnd"/>
      <w:r>
        <w:rPr>
          <w:rFonts w:hAnsi="Times New Roman"/>
          <w:bCs/>
          <w:szCs w:val="24"/>
          <w:lang w:val="es-AR"/>
        </w:rPr>
        <w:t>.),</w:t>
      </w:r>
      <w:r w:rsidRPr="001C127B">
        <w:rPr>
          <w:rFonts w:hAnsi="Times New Roman"/>
          <w:bCs/>
          <w:szCs w:val="24"/>
          <w:lang w:val="es-AR"/>
        </w:rPr>
        <w:t xml:space="preserve"> </w:t>
      </w:r>
      <w:r w:rsidRPr="001C127B">
        <w:rPr>
          <w:rFonts w:hAnsi="Times New Roman"/>
          <w:bCs/>
          <w:i/>
          <w:szCs w:val="24"/>
          <w:lang w:val="es-AR"/>
        </w:rPr>
        <w:t>Heterodoxia y Fronteras en América Latina</w:t>
      </w:r>
      <w:r>
        <w:rPr>
          <w:rFonts w:hAnsi="Times New Roman"/>
          <w:bCs/>
          <w:szCs w:val="24"/>
          <w:lang w:val="es-AR"/>
        </w:rPr>
        <w:t>, Buenos Aires,</w:t>
      </w:r>
      <w:r w:rsidRPr="001C127B">
        <w:rPr>
          <w:rFonts w:hAnsi="Times New Roman"/>
          <w:bCs/>
          <w:szCs w:val="24"/>
          <w:lang w:val="es-AR"/>
        </w:rPr>
        <w:t xml:space="preserve"> Teseo-Universidad Autónoma del Estado de Morelos-</w:t>
      </w:r>
      <w:proofErr w:type="spellStart"/>
      <w:r w:rsidRPr="001C127B">
        <w:rPr>
          <w:rFonts w:hAnsi="Times New Roman"/>
          <w:bCs/>
          <w:szCs w:val="24"/>
          <w:lang w:val="es-AR"/>
        </w:rPr>
        <w:t>ANPCyT</w:t>
      </w:r>
      <w:proofErr w:type="spellEnd"/>
      <w:r w:rsidRPr="001C127B">
        <w:rPr>
          <w:rFonts w:hAnsi="Times New Roman"/>
          <w:bCs/>
          <w:szCs w:val="24"/>
          <w:lang w:val="es-AR"/>
        </w:rPr>
        <w:t>.</w:t>
      </w:r>
    </w:p>
    <w:p w:rsidR="00E37579" w:rsidRDefault="00E37579" w:rsidP="003664EC">
      <w:pPr>
        <w:spacing w:line="360" w:lineRule="auto"/>
        <w:rPr>
          <w:sz w:val="24"/>
          <w:szCs w:val="24"/>
          <w:lang w:val="en-US"/>
        </w:rPr>
      </w:pPr>
      <w:r w:rsidRPr="003664EC">
        <w:rPr>
          <w:sz w:val="24"/>
          <w:szCs w:val="24"/>
          <w:lang w:val="en-US"/>
        </w:rPr>
        <w:t xml:space="preserve">Katz, J. y </w:t>
      </w:r>
      <w:proofErr w:type="spellStart"/>
      <w:r w:rsidRPr="003664EC">
        <w:rPr>
          <w:sz w:val="24"/>
          <w:szCs w:val="24"/>
          <w:lang w:val="en-US"/>
        </w:rPr>
        <w:t>Bercovich</w:t>
      </w:r>
      <w:proofErr w:type="spellEnd"/>
      <w:r w:rsidRPr="003664EC">
        <w:rPr>
          <w:sz w:val="24"/>
          <w:szCs w:val="24"/>
          <w:lang w:val="en-US"/>
        </w:rPr>
        <w:t xml:space="preserve">, N. (1993), “National Systems of Innovation Supporting Technical Advance in Industry: The Case of Argentina”, pp. 451-475. En: Nelson, R. (ed.), </w:t>
      </w:r>
      <w:proofErr w:type="gramStart"/>
      <w:r w:rsidRPr="003664EC">
        <w:rPr>
          <w:i/>
          <w:sz w:val="24"/>
          <w:szCs w:val="24"/>
          <w:lang w:val="en-US"/>
        </w:rPr>
        <w:t>National</w:t>
      </w:r>
      <w:proofErr w:type="gramEnd"/>
      <w:r w:rsidRPr="003664EC">
        <w:rPr>
          <w:i/>
          <w:sz w:val="24"/>
          <w:szCs w:val="24"/>
          <w:lang w:val="en-US"/>
        </w:rPr>
        <w:t xml:space="preserve"> Innovation Systems: A Comparative Analysis</w:t>
      </w:r>
      <w:r w:rsidRPr="003664EC">
        <w:rPr>
          <w:sz w:val="24"/>
          <w:szCs w:val="24"/>
          <w:lang w:val="en-US"/>
        </w:rPr>
        <w:t>, Oxford, Oxford University Press.</w:t>
      </w:r>
    </w:p>
    <w:p w:rsidR="00E37579" w:rsidRPr="007F20E4" w:rsidRDefault="00E37579" w:rsidP="003664EC">
      <w:pPr>
        <w:spacing w:line="360" w:lineRule="auto"/>
        <w:rPr>
          <w:sz w:val="24"/>
          <w:szCs w:val="24"/>
        </w:rPr>
      </w:pPr>
      <w:proofErr w:type="spellStart"/>
      <w:r>
        <w:rPr>
          <w:sz w:val="24"/>
          <w:szCs w:val="24"/>
        </w:rPr>
        <w:lastRenderedPageBreak/>
        <w:t>Lundvall</w:t>
      </w:r>
      <w:proofErr w:type="spellEnd"/>
      <w:r>
        <w:rPr>
          <w:sz w:val="24"/>
          <w:szCs w:val="24"/>
        </w:rPr>
        <w:t>, B. (2009)</w:t>
      </w:r>
      <w:r w:rsidRPr="007F20E4">
        <w:rPr>
          <w:sz w:val="24"/>
          <w:szCs w:val="24"/>
        </w:rPr>
        <w:t>, “Investigación en el campo de los sistemas de innovación: orígenes y posible futuro (</w:t>
      </w:r>
      <w:r w:rsidRPr="007F20E4">
        <w:rPr>
          <w:i/>
          <w:sz w:val="24"/>
          <w:szCs w:val="24"/>
        </w:rPr>
        <w:t>Post-</w:t>
      </w:r>
      <w:proofErr w:type="spellStart"/>
      <w:r w:rsidRPr="007F20E4">
        <w:rPr>
          <w:i/>
          <w:sz w:val="24"/>
          <w:szCs w:val="24"/>
        </w:rPr>
        <w:t>criptum</w:t>
      </w:r>
      <w:proofErr w:type="spellEnd"/>
      <w:r w:rsidRPr="007F20E4">
        <w:rPr>
          <w:sz w:val="24"/>
          <w:szCs w:val="24"/>
        </w:rPr>
        <w:t>)”,</w:t>
      </w:r>
      <w:r>
        <w:rPr>
          <w:sz w:val="24"/>
          <w:szCs w:val="24"/>
        </w:rPr>
        <w:t xml:space="preserve"> </w:t>
      </w:r>
      <w:r w:rsidRPr="007F20E4">
        <w:rPr>
          <w:sz w:val="24"/>
          <w:szCs w:val="24"/>
        </w:rPr>
        <w:t>pp. 359-387</w:t>
      </w:r>
      <w:r>
        <w:rPr>
          <w:sz w:val="24"/>
          <w:szCs w:val="24"/>
        </w:rPr>
        <w:t>. E</w:t>
      </w:r>
      <w:r w:rsidRPr="007F20E4">
        <w:rPr>
          <w:sz w:val="24"/>
          <w:szCs w:val="24"/>
        </w:rPr>
        <w:t>n</w:t>
      </w:r>
      <w:r>
        <w:rPr>
          <w:sz w:val="24"/>
          <w:szCs w:val="24"/>
        </w:rPr>
        <w:t>:</w:t>
      </w:r>
      <w:r w:rsidRPr="007F20E4">
        <w:rPr>
          <w:sz w:val="24"/>
          <w:szCs w:val="24"/>
        </w:rPr>
        <w:t xml:space="preserve"> </w:t>
      </w:r>
      <w:proofErr w:type="spellStart"/>
      <w:r w:rsidRPr="007F20E4">
        <w:rPr>
          <w:sz w:val="24"/>
          <w:szCs w:val="24"/>
        </w:rPr>
        <w:t>Lundvall</w:t>
      </w:r>
      <w:proofErr w:type="spellEnd"/>
      <w:r>
        <w:rPr>
          <w:sz w:val="24"/>
          <w:szCs w:val="24"/>
        </w:rPr>
        <w:t>, L.</w:t>
      </w:r>
      <w:r w:rsidRPr="007F20E4">
        <w:rPr>
          <w:sz w:val="24"/>
          <w:szCs w:val="24"/>
        </w:rPr>
        <w:t xml:space="preserve"> (ed.), </w:t>
      </w:r>
      <w:r w:rsidRPr="007F20E4">
        <w:rPr>
          <w:i/>
          <w:sz w:val="24"/>
          <w:szCs w:val="24"/>
        </w:rPr>
        <w:t>Sistemas nacionales de innovación. Hacia una teoría de la innovación y el aprendizaje por interacción</w:t>
      </w:r>
      <w:r w:rsidRPr="007F20E4">
        <w:rPr>
          <w:sz w:val="24"/>
          <w:szCs w:val="24"/>
        </w:rPr>
        <w:t>, Buenos Aires, UNSAM Edita.</w:t>
      </w:r>
    </w:p>
    <w:p w:rsidR="00E37579" w:rsidRDefault="00E37579" w:rsidP="00D239D1">
      <w:pPr>
        <w:pStyle w:val="Predeterminado"/>
        <w:spacing w:line="360" w:lineRule="auto"/>
        <w:jc w:val="both"/>
        <w:rPr>
          <w:rFonts w:hAnsi="Times New Roman"/>
          <w:szCs w:val="24"/>
          <w:lang w:val="es-AR"/>
        </w:rPr>
      </w:pPr>
      <w:proofErr w:type="spellStart"/>
      <w:r>
        <w:rPr>
          <w:rFonts w:hAnsi="Times New Roman"/>
          <w:lang w:val="es-AR"/>
        </w:rPr>
        <w:t>Kicillof</w:t>
      </w:r>
      <w:proofErr w:type="spellEnd"/>
      <w:r>
        <w:rPr>
          <w:rFonts w:hAnsi="Times New Roman"/>
          <w:lang w:val="es-AR"/>
        </w:rPr>
        <w:t>, A. y Bianco, C. (2017), “No tan distintos. El Consenso de Washington y el programa económico d</w:t>
      </w:r>
      <w:r w:rsidRPr="00D239D1">
        <w:rPr>
          <w:rFonts w:hAnsi="Times New Roman"/>
          <w:szCs w:val="24"/>
          <w:lang w:val="es-AR"/>
        </w:rPr>
        <w:t xml:space="preserve">e </w:t>
      </w:r>
      <w:proofErr w:type="spellStart"/>
      <w:r w:rsidRPr="00D239D1">
        <w:rPr>
          <w:rFonts w:hAnsi="Times New Roman"/>
          <w:szCs w:val="24"/>
          <w:lang w:val="es-AR"/>
        </w:rPr>
        <w:t>Macri</w:t>
      </w:r>
      <w:proofErr w:type="spellEnd"/>
      <w:r w:rsidRPr="00D239D1">
        <w:rPr>
          <w:rFonts w:hAnsi="Times New Roman"/>
          <w:szCs w:val="24"/>
          <w:lang w:val="es-AR"/>
        </w:rPr>
        <w:t xml:space="preserve">”, </w:t>
      </w:r>
      <w:r w:rsidRPr="00D239D1">
        <w:rPr>
          <w:rFonts w:hAnsi="Times New Roman"/>
          <w:i/>
          <w:szCs w:val="24"/>
          <w:lang w:val="es-AR"/>
        </w:rPr>
        <w:t>Revista Viento Sur</w:t>
      </w:r>
      <w:r w:rsidRPr="00D239D1">
        <w:rPr>
          <w:rFonts w:hAnsi="Times New Roman"/>
          <w:szCs w:val="24"/>
          <w:lang w:val="es-AR"/>
        </w:rPr>
        <w:t>, núm.16, Universidad Nacional de Lanús.</w:t>
      </w:r>
    </w:p>
    <w:p w:rsidR="00E37579" w:rsidRDefault="00E37579" w:rsidP="008470E8">
      <w:pPr>
        <w:pStyle w:val="Predeterminado"/>
        <w:spacing w:line="360" w:lineRule="auto"/>
        <w:jc w:val="both"/>
        <w:rPr>
          <w:szCs w:val="24"/>
          <w:lang w:val="en-US"/>
        </w:rPr>
      </w:pPr>
      <w:proofErr w:type="spellStart"/>
      <w:r>
        <w:rPr>
          <w:rFonts w:hAnsi="Times New Roman"/>
          <w:szCs w:val="24"/>
          <w:lang w:val="en-US"/>
        </w:rPr>
        <w:t>Mazzucato</w:t>
      </w:r>
      <w:proofErr w:type="spellEnd"/>
      <w:r>
        <w:rPr>
          <w:rFonts w:hAnsi="Times New Roman"/>
          <w:szCs w:val="24"/>
          <w:lang w:val="en-US"/>
        </w:rPr>
        <w:t>, M</w:t>
      </w:r>
      <w:r w:rsidRPr="00D239D1">
        <w:rPr>
          <w:rFonts w:hAnsi="Times New Roman"/>
          <w:szCs w:val="24"/>
          <w:lang w:val="en-US"/>
        </w:rPr>
        <w:t xml:space="preserve">. 2013. </w:t>
      </w:r>
      <w:r w:rsidRPr="00D239D1">
        <w:rPr>
          <w:rFonts w:hAnsi="Times New Roman"/>
          <w:i/>
          <w:szCs w:val="24"/>
          <w:lang w:val="en-US"/>
        </w:rPr>
        <w:t>The Entrepreneurial State. Debunking Public vs. Private Sector Myths</w:t>
      </w:r>
      <w:r w:rsidRPr="00D239D1">
        <w:rPr>
          <w:szCs w:val="24"/>
          <w:lang w:val="en-US"/>
        </w:rPr>
        <w:t xml:space="preserve">. </w:t>
      </w:r>
      <w:proofErr w:type="spellStart"/>
      <w:r w:rsidRPr="00D239D1">
        <w:rPr>
          <w:szCs w:val="24"/>
          <w:lang w:val="en-US"/>
        </w:rPr>
        <w:t>Londres</w:t>
      </w:r>
      <w:proofErr w:type="spellEnd"/>
      <w:r w:rsidRPr="00D239D1">
        <w:rPr>
          <w:szCs w:val="24"/>
          <w:lang w:val="en-US"/>
        </w:rPr>
        <w:t>: Anthem Press.</w:t>
      </w:r>
    </w:p>
    <w:p w:rsidR="00E37579" w:rsidRPr="00B910A3" w:rsidRDefault="00E37579" w:rsidP="008470E8">
      <w:pPr>
        <w:pStyle w:val="Predeterminado"/>
        <w:spacing w:line="360" w:lineRule="auto"/>
        <w:jc w:val="both"/>
        <w:rPr>
          <w:rFonts w:hAnsi="Times New Roman"/>
          <w:szCs w:val="24"/>
          <w:lang w:val="pt-BR"/>
        </w:rPr>
      </w:pPr>
      <w:proofErr w:type="spellStart"/>
      <w:r w:rsidRPr="006C2D53">
        <w:rPr>
          <w:lang w:val="en-US"/>
        </w:rPr>
        <w:t>Mazzucato</w:t>
      </w:r>
      <w:proofErr w:type="spellEnd"/>
      <w:r w:rsidRPr="006C2D53">
        <w:rPr>
          <w:lang w:val="en-US"/>
        </w:rPr>
        <w:t xml:space="preserve">, M. y Penna, C. 2016. </w:t>
      </w:r>
      <w:r w:rsidRPr="00AB500E">
        <w:rPr>
          <w:lang w:val="en-US"/>
        </w:rPr>
        <w:t>“</w:t>
      </w:r>
      <w:r w:rsidRPr="00AB500E">
        <w:rPr>
          <w:bCs/>
          <w:lang w:val="en-US"/>
        </w:rPr>
        <w:t>The Brazilian Innovation System:</w:t>
      </w:r>
      <w:r w:rsidRPr="00AB500E">
        <w:rPr>
          <w:lang w:val="en-US"/>
        </w:rPr>
        <w:t xml:space="preserve"> </w:t>
      </w:r>
      <w:r w:rsidRPr="00AB500E">
        <w:rPr>
          <w:bCs/>
          <w:lang w:val="en-US"/>
        </w:rPr>
        <w:t>A Mission-Oriented Policy Proposal</w:t>
      </w:r>
      <w:r w:rsidRPr="00AB500E">
        <w:rPr>
          <w:bCs/>
          <w:lang w:val="en-US"/>
        </w:rPr>
        <w:t>”</w:t>
      </w:r>
      <w:r w:rsidRPr="00AB500E">
        <w:rPr>
          <w:bCs/>
          <w:lang w:val="en-US"/>
        </w:rPr>
        <w:t xml:space="preserve">, </w:t>
      </w:r>
      <w:proofErr w:type="spellStart"/>
      <w:r w:rsidRPr="00AB500E">
        <w:rPr>
          <w:bCs/>
          <w:lang w:val="en-US"/>
        </w:rPr>
        <w:t>Temas</w:t>
      </w:r>
      <w:proofErr w:type="spellEnd"/>
      <w:r w:rsidRPr="00AB500E">
        <w:rPr>
          <w:bCs/>
          <w:lang w:val="en-US"/>
        </w:rPr>
        <w:t xml:space="preserve"> </w:t>
      </w:r>
      <w:proofErr w:type="spellStart"/>
      <w:r w:rsidRPr="00AB500E">
        <w:rPr>
          <w:bCs/>
          <w:lang w:val="en-US"/>
        </w:rPr>
        <w:t>Estrat</w:t>
      </w:r>
      <w:r w:rsidRPr="00AB500E">
        <w:rPr>
          <w:bCs/>
          <w:lang w:val="en-US"/>
        </w:rPr>
        <w:t>é</w:t>
      </w:r>
      <w:r w:rsidRPr="00AB500E">
        <w:rPr>
          <w:bCs/>
          <w:lang w:val="en-US"/>
        </w:rPr>
        <w:t>gicos</w:t>
      </w:r>
      <w:proofErr w:type="spellEnd"/>
      <w:r w:rsidRPr="00AB500E">
        <w:rPr>
          <w:bCs/>
          <w:lang w:val="en-US"/>
        </w:rPr>
        <w:t xml:space="preserve"> para o </w:t>
      </w:r>
      <w:proofErr w:type="spellStart"/>
      <w:r w:rsidRPr="00AB500E">
        <w:rPr>
          <w:bCs/>
          <w:lang w:val="en-US"/>
        </w:rPr>
        <w:t>Desenvolvimento</w:t>
      </w:r>
      <w:proofErr w:type="spellEnd"/>
      <w:r w:rsidRPr="00AB500E">
        <w:rPr>
          <w:bCs/>
          <w:lang w:val="en-US"/>
        </w:rPr>
        <w:t xml:space="preserve"> do </w:t>
      </w:r>
      <w:proofErr w:type="spellStart"/>
      <w:r w:rsidRPr="00AB500E">
        <w:rPr>
          <w:bCs/>
          <w:lang w:val="en-US"/>
        </w:rPr>
        <w:t>Brasil</w:t>
      </w:r>
      <w:proofErr w:type="spellEnd"/>
      <w:r w:rsidRPr="00AB500E">
        <w:rPr>
          <w:bCs/>
          <w:lang w:val="en-US"/>
        </w:rPr>
        <w:t xml:space="preserve">, </w:t>
      </w:r>
      <w:proofErr w:type="spellStart"/>
      <w:r w:rsidRPr="00AB500E">
        <w:rPr>
          <w:bCs/>
          <w:lang w:val="en-US"/>
        </w:rPr>
        <w:t>n</w:t>
      </w:r>
      <w:r w:rsidRPr="00AB500E">
        <w:rPr>
          <w:bCs/>
          <w:lang w:val="en-US"/>
        </w:rPr>
        <w:t>ú</w:t>
      </w:r>
      <w:r w:rsidRPr="00AB500E">
        <w:rPr>
          <w:bCs/>
          <w:lang w:val="en-US"/>
        </w:rPr>
        <w:t>m</w:t>
      </w:r>
      <w:proofErr w:type="spellEnd"/>
      <w:r w:rsidRPr="00AB500E">
        <w:rPr>
          <w:bCs/>
          <w:lang w:val="en-US"/>
        </w:rPr>
        <w:t xml:space="preserve">. 1. </w:t>
      </w:r>
      <w:proofErr w:type="spellStart"/>
      <w:r w:rsidRPr="00B910A3">
        <w:rPr>
          <w:bCs/>
          <w:lang w:val="pt-BR"/>
        </w:rPr>
        <w:t>Brasilia</w:t>
      </w:r>
      <w:proofErr w:type="spellEnd"/>
      <w:r w:rsidRPr="00B910A3">
        <w:rPr>
          <w:bCs/>
          <w:lang w:val="pt-BR"/>
        </w:rPr>
        <w:t xml:space="preserve">, DF: </w:t>
      </w:r>
      <w:r w:rsidRPr="00B910A3">
        <w:rPr>
          <w:lang w:val="pt-BR"/>
        </w:rPr>
        <w:t xml:space="preserve">Centro de </w:t>
      </w:r>
      <w:r w:rsidRPr="00B910A3">
        <w:rPr>
          <w:rFonts w:hAnsi="Times New Roman"/>
          <w:lang w:val="pt-BR"/>
        </w:rPr>
        <w:t>Gestão e Estudos Estratégicos.</w:t>
      </w:r>
    </w:p>
    <w:p w:rsidR="00E37579" w:rsidRPr="008470E8" w:rsidRDefault="00E37579" w:rsidP="008470E8">
      <w:pPr>
        <w:pStyle w:val="Predeterminado"/>
        <w:spacing w:line="360" w:lineRule="auto"/>
        <w:jc w:val="both"/>
        <w:rPr>
          <w:rFonts w:hAnsi="Times New Roman"/>
          <w:szCs w:val="24"/>
          <w:lang w:val="en-US"/>
        </w:rPr>
      </w:pPr>
      <w:proofErr w:type="spellStart"/>
      <w:r w:rsidRPr="00B910A3">
        <w:rPr>
          <w:rFonts w:hAnsi="Times New Roman"/>
          <w:szCs w:val="24"/>
          <w:lang w:val="pt-BR" w:eastAsia="es-AR"/>
        </w:rPr>
        <w:t>Michalopoulos</w:t>
      </w:r>
      <w:proofErr w:type="spellEnd"/>
      <w:r w:rsidRPr="00B910A3">
        <w:rPr>
          <w:rFonts w:hAnsi="Times New Roman"/>
          <w:szCs w:val="24"/>
          <w:lang w:val="pt-BR" w:eastAsia="es-AR"/>
        </w:rPr>
        <w:t xml:space="preserve">, C. (2014), </w:t>
      </w:r>
      <w:proofErr w:type="spellStart"/>
      <w:r w:rsidRPr="00B910A3">
        <w:rPr>
          <w:rFonts w:hAnsi="Times New Roman"/>
          <w:bCs/>
          <w:i/>
          <w:szCs w:val="24"/>
          <w:lang w:val="pt-BR" w:eastAsia="es-AR"/>
        </w:rPr>
        <w:t>Emerging</w:t>
      </w:r>
      <w:proofErr w:type="spellEnd"/>
      <w:r w:rsidRPr="00B910A3">
        <w:rPr>
          <w:rFonts w:hAnsi="Times New Roman"/>
          <w:bCs/>
          <w:i/>
          <w:szCs w:val="24"/>
          <w:lang w:val="pt-BR" w:eastAsia="es-AR"/>
        </w:rPr>
        <w:t xml:space="preserve"> </w:t>
      </w:r>
      <w:proofErr w:type="spellStart"/>
      <w:r w:rsidRPr="00B910A3">
        <w:rPr>
          <w:rFonts w:hAnsi="Times New Roman"/>
          <w:bCs/>
          <w:i/>
          <w:szCs w:val="24"/>
          <w:lang w:val="pt-BR" w:eastAsia="es-AR"/>
        </w:rPr>
        <w:t>Powers</w:t>
      </w:r>
      <w:proofErr w:type="spellEnd"/>
      <w:r w:rsidRPr="00B910A3">
        <w:rPr>
          <w:rFonts w:hAnsi="Times New Roman"/>
          <w:bCs/>
          <w:i/>
          <w:szCs w:val="24"/>
          <w:lang w:val="pt-BR" w:eastAsia="es-AR"/>
        </w:rPr>
        <w:t xml:space="preserve"> in </w:t>
      </w:r>
      <w:proofErr w:type="spellStart"/>
      <w:r w:rsidRPr="00B910A3">
        <w:rPr>
          <w:rFonts w:hAnsi="Times New Roman"/>
          <w:bCs/>
          <w:i/>
          <w:szCs w:val="24"/>
          <w:lang w:val="pt-BR" w:eastAsia="es-AR"/>
        </w:rPr>
        <w:t>the</w:t>
      </w:r>
      <w:proofErr w:type="spellEnd"/>
      <w:r w:rsidRPr="00B910A3">
        <w:rPr>
          <w:rFonts w:hAnsi="Times New Roman"/>
          <w:bCs/>
          <w:i/>
          <w:szCs w:val="24"/>
          <w:lang w:val="pt-BR" w:eastAsia="es-AR"/>
        </w:rPr>
        <w:t xml:space="preserve"> WTO. </w:t>
      </w:r>
      <w:r w:rsidRPr="008470E8">
        <w:rPr>
          <w:rFonts w:hAnsi="Times New Roman"/>
          <w:bCs/>
          <w:i/>
          <w:szCs w:val="24"/>
          <w:lang w:eastAsia="es-AR"/>
        </w:rPr>
        <w:t>Developing Countries and Trade in the 21st Century</w:t>
      </w:r>
      <w:r w:rsidRPr="008470E8">
        <w:rPr>
          <w:rFonts w:hAnsi="Times New Roman"/>
          <w:bCs/>
          <w:szCs w:val="24"/>
          <w:lang w:eastAsia="es-AR"/>
        </w:rPr>
        <w:t xml:space="preserve">, New York, </w:t>
      </w:r>
      <w:r w:rsidRPr="008470E8">
        <w:rPr>
          <w:rFonts w:hAnsi="Times New Roman"/>
          <w:szCs w:val="24"/>
          <w:lang w:val="en-US" w:eastAsia="es-AR"/>
        </w:rPr>
        <w:t>Palgrave Macmillan.</w:t>
      </w:r>
    </w:p>
    <w:p w:rsidR="00E37579" w:rsidRPr="008470E8" w:rsidRDefault="00E37579" w:rsidP="00EB2ADC">
      <w:pPr>
        <w:pStyle w:val="Predeterminado"/>
        <w:spacing w:line="360" w:lineRule="auto"/>
        <w:jc w:val="both"/>
        <w:rPr>
          <w:rFonts w:hAnsi="Times New Roman"/>
          <w:szCs w:val="24"/>
          <w:lang w:val="es-AR"/>
        </w:rPr>
      </w:pPr>
      <w:proofErr w:type="spellStart"/>
      <w:r w:rsidRPr="008470E8">
        <w:rPr>
          <w:rFonts w:hAnsi="Times New Roman"/>
          <w:szCs w:val="24"/>
          <w:lang w:val="es-AR"/>
        </w:rPr>
        <w:t>Muller</w:t>
      </w:r>
      <w:proofErr w:type="spellEnd"/>
      <w:r w:rsidRPr="008470E8">
        <w:rPr>
          <w:rFonts w:hAnsi="Times New Roman"/>
          <w:szCs w:val="24"/>
          <w:lang w:val="es-AR"/>
        </w:rPr>
        <w:t xml:space="preserve">, P. (2002), </w:t>
      </w:r>
      <w:r w:rsidRPr="008470E8">
        <w:rPr>
          <w:rFonts w:hAnsi="Times New Roman"/>
          <w:i/>
          <w:iCs/>
          <w:szCs w:val="24"/>
          <w:lang w:val="es-AR"/>
        </w:rPr>
        <w:t>Las políticas públicas</w:t>
      </w:r>
      <w:r w:rsidRPr="008470E8">
        <w:rPr>
          <w:rFonts w:hAnsi="Times New Roman"/>
          <w:szCs w:val="24"/>
          <w:lang w:val="es-AR"/>
        </w:rPr>
        <w:t xml:space="preserve">, Universidad Externado de Colombia, Bogotá. </w:t>
      </w:r>
    </w:p>
    <w:p w:rsidR="00E37579" w:rsidRPr="00B910A3" w:rsidRDefault="00E37579" w:rsidP="00C627DC">
      <w:pPr>
        <w:pStyle w:val="Predeterminado"/>
        <w:spacing w:line="360" w:lineRule="auto"/>
        <w:jc w:val="both"/>
        <w:rPr>
          <w:rFonts w:hAnsi="Times New Roman"/>
          <w:szCs w:val="24"/>
          <w:lang w:val="en-US"/>
        </w:rPr>
      </w:pPr>
      <w:proofErr w:type="spellStart"/>
      <w:r w:rsidRPr="008470E8">
        <w:rPr>
          <w:rFonts w:hAnsi="Times New Roman"/>
          <w:lang w:val="en-US"/>
        </w:rPr>
        <w:t>Muños</w:t>
      </w:r>
      <w:proofErr w:type="spellEnd"/>
      <w:r w:rsidRPr="008470E8">
        <w:rPr>
          <w:rFonts w:hAnsi="Times New Roman"/>
          <w:lang w:val="en-US"/>
        </w:rPr>
        <w:t xml:space="preserve"> Tellez, V. (2009), “The changing global governance of intellectual property enforcement: a </w:t>
      </w:r>
      <w:r w:rsidRPr="00EA202C">
        <w:rPr>
          <w:lang w:val="en-US"/>
        </w:rPr>
        <w:t>new challenge for developing countries</w:t>
      </w:r>
      <w:r w:rsidRPr="00EA202C">
        <w:rPr>
          <w:lang w:val="en-US"/>
        </w:rPr>
        <w:t>”</w:t>
      </w:r>
      <w:r w:rsidRPr="00EA202C">
        <w:rPr>
          <w:lang w:val="en-US"/>
        </w:rPr>
        <w:t xml:space="preserve">, pp. 1-13. </w:t>
      </w:r>
      <w:r w:rsidRPr="00B910A3">
        <w:rPr>
          <w:lang w:val="en-US"/>
        </w:rPr>
        <w:t xml:space="preserve">En: Li, X. y Correa, C. (eds.), </w:t>
      </w:r>
      <w:r w:rsidRPr="00B910A3">
        <w:rPr>
          <w:i/>
          <w:lang w:val="en-US"/>
        </w:rPr>
        <w:t xml:space="preserve">Intellectual </w:t>
      </w:r>
      <w:r w:rsidRPr="00B910A3">
        <w:rPr>
          <w:rFonts w:hAnsi="Times New Roman"/>
          <w:i/>
          <w:szCs w:val="24"/>
          <w:lang w:val="en-US"/>
        </w:rPr>
        <w:t>Property Enforcement. International Perspectives</w:t>
      </w:r>
      <w:r w:rsidRPr="00B910A3">
        <w:rPr>
          <w:rFonts w:hAnsi="Times New Roman"/>
          <w:szCs w:val="24"/>
          <w:lang w:val="en-US"/>
        </w:rPr>
        <w:t>. Cheltenham, UK, Edward Elgar.</w:t>
      </w:r>
    </w:p>
    <w:p w:rsidR="00E37579" w:rsidRPr="00845F87" w:rsidRDefault="00E37579" w:rsidP="00C627DC">
      <w:pPr>
        <w:pStyle w:val="Predeterminado"/>
        <w:spacing w:line="360" w:lineRule="auto"/>
        <w:jc w:val="both"/>
        <w:rPr>
          <w:rFonts w:hAnsi="Times New Roman"/>
          <w:szCs w:val="24"/>
          <w:lang w:val="en-US"/>
        </w:rPr>
      </w:pPr>
      <w:r w:rsidRPr="00C627DC">
        <w:rPr>
          <w:rFonts w:hAnsi="Times New Roman"/>
          <w:szCs w:val="24"/>
          <w:lang w:val="en-US"/>
        </w:rPr>
        <w:t xml:space="preserve">Nash, H. 1994. “Nuclear Roots Grow </w:t>
      </w:r>
      <w:proofErr w:type="gramStart"/>
      <w:r w:rsidRPr="00C627DC">
        <w:rPr>
          <w:rFonts w:hAnsi="Times New Roman"/>
          <w:szCs w:val="24"/>
          <w:lang w:val="en-US"/>
        </w:rPr>
        <w:t>Into</w:t>
      </w:r>
      <w:proofErr w:type="gramEnd"/>
      <w:r w:rsidRPr="00C627DC">
        <w:rPr>
          <w:rFonts w:hAnsi="Times New Roman"/>
          <w:szCs w:val="24"/>
          <w:lang w:val="en-US"/>
        </w:rPr>
        <w:t xml:space="preserve"> an Argentine Silicon Valley</w:t>
      </w:r>
      <w:r w:rsidRPr="00C627DC">
        <w:rPr>
          <w:rStyle w:val="Textoennegrita"/>
          <w:rFonts w:hAnsi="Times New Roman"/>
          <w:b w:val="0"/>
          <w:szCs w:val="24"/>
          <w:lang w:val="en-US"/>
        </w:rPr>
        <w:t xml:space="preserve">”, </w:t>
      </w:r>
      <w:r w:rsidRPr="00C627DC">
        <w:rPr>
          <w:rStyle w:val="Textoennegrita"/>
          <w:rFonts w:hAnsi="Times New Roman"/>
          <w:b w:val="0"/>
          <w:i/>
          <w:szCs w:val="24"/>
          <w:lang w:val="en-US"/>
        </w:rPr>
        <w:t>New York Times</w:t>
      </w:r>
      <w:r w:rsidRPr="00C627DC">
        <w:rPr>
          <w:rStyle w:val="Textoennegrita"/>
          <w:rFonts w:hAnsi="Times New Roman"/>
          <w:b w:val="0"/>
          <w:szCs w:val="24"/>
          <w:lang w:val="en-US"/>
        </w:rPr>
        <w:t xml:space="preserve">, 6 de </w:t>
      </w:r>
      <w:proofErr w:type="spellStart"/>
      <w:r w:rsidRPr="00C627DC">
        <w:rPr>
          <w:rStyle w:val="Textoennegrita"/>
          <w:rFonts w:hAnsi="Times New Roman"/>
          <w:b w:val="0"/>
          <w:szCs w:val="24"/>
          <w:lang w:val="en-US"/>
        </w:rPr>
        <w:t>febrero</w:t>
      </w:r>
      <w:proofErr w:type="spellEnd"/>
      <w:r w:rsidRPr="00C627DC">
        <w:rPr>
          <w:rStyle w:val="Textoennegrita"/>
          <w:rFonts w:hAnsi="Times New Roman"/>
          <w:b w:val="0"/>
          <w:szCs w:val="24"/>
          <w:lang w:val="en-US"/>
        </w:rPr>
        <w:t>, p. 14.</w:t>
      </w:r>
    </w:p>
    <w:p w:rsidR="00E37579" w:rsidRPr="00C627DC" w:rsidRDefault="00E37579" w:rsidP="00EB2ADC">
      <w:pPr>
        <w:pStyle w:val="Predeterminado"/>
        <w:spacing w:line="360" w:lineRule="auto"/>
        <w:jc w:val="both"/>
        <w:rPr>
          <w:rFonts w:hAnsi="Times New Roman"/>
          <w:szCs w:val="24"/>
          <w:lang w:val="es-AR"/>
        </w:rPr>
      </w:pPr>
      <w:proofErr w:type="spellStart"/>
      <w:r w:rsidRPr="00C627DC">
        <w:rPr>
          <w:rFonts w:hAnsi="Times New Roman"/>
          <w:szCs w:val="24"/>
          <w:lang w:val="es-ES"/>
        </w:rPr>
        <w:t>O’Donnell</w:t>
      </w:r>
      <w:proofErr w:type="spellEnd"/>
      <w:r w:rsidRPr="00C627DC">
        <w:rPr>
          <w:rFonts w:hAnsi="Times New Roman"/>
          <w:szCs w:val="24"/>
          <w:lang w:val="es-ES"/>
        </w:rPr>
        <w:t xml:space="preserve">, G. (2009 [1982]), </w:t>
      </w:r>
      <w:r w:rsidRPr="00C627DC">
        <w:rPr>
          <w:rFonts w:hAnsi="Times New Roman"/>
          <w:i/>
          <w:szCs w:val="24"/>
          <w:lang w:val="es-ES"/>
        </w:rPr>
        <w:t>El estado burocrático autoritario</w:t>
      </w:r>
      <w:r w:rsidRPr="00C627DC">
        <w:rPr>
          <w:rFonts w:hAnsi="Times New Roman"/>
          <w:szCs w:val="24"/>
          <w:lang w:val="es-ES"/>
        </w:rPr>
        <w:t xml:space="preserve">, </w:t>
      </w:r>
      <w:r w:rsidRPr="00C627DC">
        <w:rPr>
          <w:rFonts w:hAnsi="Times New Roman"/>
          <w:szCs w:val="24"/>
          <w:lang w:val="es-AR"/>
        </w:rPr>
        <w:t>Buenos Aires, Prometeo.</w:t>
      </w:r>
    </w:p>
    <w:p w:rsidR="00E37579" w:rsidRPr="00B910A3" w:rsidRDefault="00E37579" w:rsidP="00EB2ADC">
      <w:pPr>
        <w:pStyle w:val="Predeterminado"/>
        <w:spacing w:line="360" w:lineRule="auto"/>
        <w:jc w:val="both"/>
        <w:rPr>
          <w:rFonts w:hAnsi="Times New Roman"/>
          <w:lang w:val="en-US"/>
        </w:rPr>
      </w:pPr>
      <w:proofErr w:type="spellStart"/>
      <w:r w:rsidRPr="000B3073">
        <w:rPr>
          <w:rFonts w:hAnsi="Times New Roman"/>
          <w:szCs w:val="24"/>
          <w:lang w:val="es-AR"/>
        </w:rPr>
        <w:t>Oszlak</w:t>
      </w:r>
      <w:proofErr w:type="spellEnd"/>
      <w:r w:rsidRPr="000B3073">
        <w:rPr>
          <w:rFonts w:hAnsi="Times New Roman"/>
          <w:szCs w:val="24"/>
          <w:lang w:val="es-AR"/>
        </w:rPr>
        <w:t xml:space="preserve">, O. (2011), “El rol del estado: micro, meso, macro”, conferencia dictada en el </w:t>
      </w:r>
      <w:r w:rsidRPr="000B3073">
        <w:rPr>
          <w:rFonts w:hAnsi="Times New Roman"/>
          <w:i/>
          <w:szCs w:val="24"/>
          <w:lang w:val="es-AR"/>
        </w:rPr>
        <w:t xml:space="preserve">VI Congreso </w:t>
      </w:r>
      <w:r w:rsidRPr="002B33BC">
        <w:rPr>
          <w:rFonts w:hAnsi="Times New Roman"/>
          <w:i/>
          <w:lang w:val="es-AR"/>
        </w:rPr>
        <w:t>de Administración Pública</w:t>
      </w:r>
      <w:r w:rsidRPr="002B33BC">
        <w:rPr>
          <w:rFonts w:hAnsi="Times New Roman"/>
          <w:lang w:val="es-AR"/>
        </w:rPr>
        <w:t xml:space="preserve"> organizado por la Asociación de Estudios de Administración Pública y la Asociación de Administradores Gubernamentales, Resistencia, Chaco, 7 de julio de 2011. </w:t>
      </w:r>
      <w:hyperlink r:id="rId7" w:history="1">
        <w:r w:rsidRPr="00B910A3">
          <w:rPr>
            <w:rStyle w:val="Hipervnculo"/>
            <w:rFonts w:hAnsi="Times New Roman"/>
            <w:lang w:val="en-US"/>
          </w:rPr>
          <w:t>http://www.oscaroszlak.org.ar</w:t>
        </w:r>
      </w:hyperlink>
      <w:r w:rsidRPr="00B910A3">
        <w:rPr>
          <w:rFonts w:hAnsi="Times New Roman"/>
          <w:lang w:val="en-US"/>
        </w:rPr>
        <w:t>.</w:t>
      </w:r>
    </w:p>
    <w:p w:rsidR="00E37579" w:rsidRDefault="00E37579" w:rsidP="00EB2ADC">
      <w:pPr>
        <w:pStyle w:val="Predeterminado"/>
        <w:spacing w:line="360" w:lineRule="auto"/>
        <w:jc w:val="both"/>
        <w:rPr>
          <w:rFonts w:hAnsi="Times New Roman"/>
        </w:rPr>
      </w:pPr>
      <w:proofErr w:type="spellStart"/>
      <w:r>
        <w:rPr>
          <w:rFonts w:hAnsi="Times New Roman"/>
          <w:szCs w:val="24"/>
          <w:lang w:val="en-US"/>
        </w:rPr>
        <w:t>Oyarzábal</w:t>
      </w:r>
      <w:proofErr w:type="spellEnd"/>
      <w:r>
        <w:rPr>
          <w:rFonts w:hAnsi="Times New Roman"/>
          <w:szCs w:val="24"/>
          <w:lang w:val="en-US"/>
        </w:rPr>
        <w:t>, X</w:t>
      </w:r>
      <w:r w:rsidRPr="00854A65">
        <w:rPr>
          <w:rFonts w:hAnsi="Times New Roman"/>
          <w:szCs w:val="24"/>
          <w:lang w:val="en-US"/>
        </w:rPr>
        <w:t xml:space="preserve">. </w:t>
      </w:r>
      <w:r>
        <w:rPr>
          <w:rFonts w:hAnsi="Times New Roman"/>
          <w:szCs w:val="24"/>
          <w:lang w:val="en-US"/>
        </w:rPr>
        <w:t>(1997), “Argentine Space Assets</w:t>
      </w:r>
      <w:r w:rsidRPr="00854A65">
        <w:rPr>
          <w:rFonts w:hAnsi="Times New Roman"/>
          <w:szCs w:val="24"/>
          <w:lang w:val="en-US"/>
        </w:rPr>
        <w:t>”</w:t>
      </w:r>
      <w:r>
        <w:rPr>
          <w:rFonts w:hAnsi="Times New Roman"/>
          <w:szCs w:val="24"/>
          <w:lang w:val="en-US"/>
        </w:rPr>
        <w:t>,</w:t>
      </w:r>
      <w:r w:rsidRPr="00854A65">
        <w:rPr>
          <w:rFonts w:hAnsi="Times New Roman"/>
          <w:szCs w:val="24"/>
          <w:lang w:val="en-US"/>
        </w:rPr>
        <w:t xml:space="preserve"> </w:t>
      </w:r>
      <w:r w:rsidRPr="00765598">
        <w:rPr>
          <w:rFonts w:hAnsi="Times New Roman"/>
          <w:szCs w:val="24"/>
          <w:lang w:val="en-US"/>
        </w:rPr>
        <w:t>P</w:t>
      </w:r>
      <w:r>
        <w:rPr>
          <w:rFonts w:hAnsi="Times New Roman"/>
          <w:szCs w:val="24"/>
          <w:lang w:val="en-US"/>
        </w:rPr>
        <w:t>h.D.</w:t>
      </w:r>
      <w:r w:rsidRPr="00765598">
        <w:rPr>
          <w:rFonts w:hAnsi="Times New Roman"/>
          <w:szCs w:val="24"/>
          <w:lang w:val="en-US"/>
        </w:rPr>
        <w:t xml:space="preserve"> T</w:t>
      </w:r>
      <w:r>
        <w:rPr>
          <w:rFonts w:hAnsi="Times New Roman"/>
          <w:szCs w:val="24"/>
          <w:lang w:val="en-US"/>
        </w:rPr>
        <w:t>h</w:t>
      </w:r>
      <w:r w:rsidRPr="00765598">
        <w:rPr>
          <w:rFonts w:hAnsi="Times New Roman"/>
          <w:szCs w:val="24"/>
          <w:lang w:val="en-US"/>
        </w:rPr>
        <w:t>esi</w:t>
      </w:r>
      <w:r w:rsidRPr="00854A65">
        <w:rPr>
          <w:rFonts w:hAnsi="Times New Roman"/>
          <w:szCs w:val="24"/>
          <w:lang w:val="en-US"/>
        </w:rPr>
        <w:t>s, Postgraduate Naval School, Monterrey, California.</w:t>
      </w:r>
    </w:p>
    <w:p w:rsidR="00E37579" w:rsidRDefault="00E37579" w:rsidP="001D21E6">
      <w:pPr>
        <w:pStyle w:val="Predeterminado"/>
        <w:spacing w:line="360" w:lineRule="auto"/>
        <w:jc w:val="both"/>
        <w:rPr>
          <w:rFonts w:hAnsi="Times New Roman"/>
        </w:rPr>
      </w:pPr>
      <w:r>
        <w:rPr>
          <w:rFonts w:hAnsi="Times New Roman"/>
        </w:rPr>
        <w:t xml:space="preserve">Putnam, R. (1988), “Diplomacy and domestic politics: the logic of two level games”, </w:t>
      </w:r>
      <w:r>
        <w:rPr>
          <w:rFonts w:hAnsi="Times New Roman"/>
          <w:i/>
        </w:rPr>
        <w:t>International Organization</w:t>
      </w:r>
      <w:r>
        <w:rPr>
          <w:rFonts w:hAnsi="Times New Roman"/>
        </w:rPr>
        <w:t xml:space="preserve">, </w:t>
      </w:r>
      <w:proofErr w:type="spellStart"/>
      <w:r>
        <w:rPr>
          <w:rFonts w:hAnsi="Times New Roman"/>
        </w:rPr>
        <w:t>núm</w:t>
      </w:r>
      <w:proofErr w:type="spellEnd"/>
      <w:r>
        <w:rPr>
          <w:rFonts w:hAnsi="Times New Roman"/>
        </w:rPr>
        <w:t>. 3, vol.</w:t>
      </w:r>
      <w:r>
        <w:rPr>
          <w:rFonts w:hAnsi="Times New Roman"/>
          <w:i/>
        </w:rPr>
        <w:t xml:space="preserve"> </w:t>
      </w:r>
      <w:r w:rsidRPr="00285453">
        <w:rPr>
          <w:rFonts w:hAnsi="Times New Roman"/>
        </w:rPr>
        <w:t>42</w:t>
      </w:r>
      <w:r>
        <w:rPr>
          <w:rFonts w:hAnsi="Times New Roman"/>
        </w:rPr>
        <w:t>, pp. 427-460.</w:t>
      </w:r>
    </w:p>
    <w:p w:rsidR="00E37579" w:rsidRDefault="00E37579" w:rsidP="002C03A8">
      <w:pPr>
        <w:pStyle w:val="Predeterminado"/>
        <w:spacing w:line="360" w:lineRule="auto"/>
        <w:jc w:val="both"/>
        <w:rPr>
          <w:lang w:val="es-AR"/>
        </w:rPr>
      </w:pPr>
      <w:proofErr w:type="spellStart"/>
      <w:r w:rsidRPr="001D21E6">
        <w:rPr>
          <w:lang w:val="es-AR"/>
        </w:rPr>
        <w:t>Rubinich</w:t>
      </w:r>
      <w:proofErr w:type="spellEnd"/>
      <w:r w:rsidRPr="001D21E6">
        <w:rPr>
          <w:lang w:val="es-AR"/>
        </w:rPr>
        <w:t xml:space="preserve">, L. (2001), </w:t>
      </w:r>
      <w:r w:rsidRPr="001D21E6">
        <w:rPr>
          <w:i/>
          <w:lang w:val="es-AR"/>
        </w:rPr>
        <w:t>La conformaci</w:t>
      </w:r>
      <w:r w:rsidRPr="001D21E6">
        <w:rPr>
          <w:i/>
          <w:lang w:val="es-AR"/>
        </w:rPr>
        <w:t>ó</w:t>
      </w:r>
      <w:r w:rsidRPr="001D21E6">
        <w:rPr>
          <w:i/>
          <w:lang w:val="es-AR"/>
        </w:rPr>
        <w:t>n de un clima cultural. Neoliberalismo y Universidad</w:t>
      </w:r>
      <w:r w:rsidRPr="001D21E6">
        <w:rPr>
          <w:lang w:val="es-AR"/>
        </w:rPr>
        <w:t>,</w:t>
      </w:r>
      <w:r>
        <w:rPr>
          <w:lang w:val="es-AR"/>
        </w:rPr>
        <w:t xml:space="preserve"> Buenos Aires,</w:t>
      </w:r>
      <w:r w:rsidRPr="001D21E6">
        <w:rPr>
          <w:lang w:val="es-AR"/>
        </w:rPr>
        <w:t xml:space="preserve"> Libros del Rojas.</w:t>
      </w:r>
    </w:p>
    <w:p w:rsidR="00E37579" w:rsidRPr="00BA58F0" w:rsidRDefault="00E37579" w:rsidP="002C03A8">
      <w:pPr>
        <w:pStyle w:val="Predeterminado"/>
        <w:spacing w:line="360" w:lineRule="auto"/>
        <w:jc w:val="both"/>
        <w:rPr>
          <w:lang w:val="es-AR"/>
        </w:rPr>
      </w:pPr>
      <w:r w:rsidRPr="00BA58F0">
        <w:rPr>
          <w:rFonts w:hAnsi="Times New Roman"/>
          <w:szCs w:val="24"/>
          <w:lang w:val="es-AR"/>
        </w:rPr>
        <w:lastRenderedPageBreak/>
        <w:t>Rus, G. 2016. “</w:t>
      </w:r>
      <w:r w:rsidRPr="00BA58F0">
        <w:rPr>
          <w:rFonts w:hAnsi="Times New Roman"/>
          <w:bCs/>
          <w:szCs w:val="24"/>
          <w:lang w:val="es-AR"/>
        </w:rPr>
        <w:t xml:space="preserve">ARSAT 2016, desinversión y camino a la privatización”, </w:t>
      </w:r>
      <w:proofErr w:type="spellStart"/>
      <w:r w:rsidRPr="00BA58F0">
        <w:rPr>
          <w:rFonts w:hAnsi="Times New Roman"/>
          <w:bCs/>
          <w:i/>
          <w:szCs w:val="24"/>
          <w:lang w:val="es-AR"/>
        </w:rPr>
        <w:t>Latam</w:t>
      </w:r>
      <w:proofErr w:type="spellEnd"/>
      <w:r w:rsidRPr="00BA58F0">
        <w:rPr>
          <w:rFonts w:hAnsi="Times New Roman"/>
          <w:bCs/>
          <w:i/>
          <w:szCs w:val="24"/>
          <w:lang w:val="es-AR"/>
        </w:rPr>
        <w:t xml:space="preserve"> Satelital</w:t>
      </w:r>
      <w:r w:rsidRPr="00BA58F0">
        <w:rPr>
          <w:rFonts w:hAnsi="Times New Roman"/>
          <w:bCs/>
          <w:szCs w:val="24"/>
          <w:lang w:val="es-AR"/>
        </w:rPr>
        <w:t xml:space="preserve">, 28 de diciembre. </w:t>
      </w:r>
    </w:p>
    <w:p w:rsidR="00E37579" w:rsidRPr="00BA58F0" w:rsidRDefault="00E37579" w:rsidP="002C03A8">
      <w:pPr>
        <w:pStyle w:val="Predeterminado"/>
        <w:spacing w:line="360" w:lineRule="auto"/>
        <w:jc w:val="both"/>
        <w:rPr>
          <w:rFonts w:hAnsi="Times New Roman"/>
          <w:szCs w:val="24"/>
          <w:lang w:val="es-AR"/>
        </w:rPr>
      </w:pPr>
      <w:r w:rsidRPr="00BA58F0">
        <w:rPr>
          <w:rFonts w:hAnsi="Times New Roman"/>
          <w:szCs w:val="24"/>
          <w:lang w:val="es-AR"/>
        </w:rPr>
        <w:t xml:space="preserve">Rus, G. 2017a. “No es prioridad del gobierno cumplir la ley”, </w:t>
      </w:r>
      <w:r w:rsidRPr="00BA58F0">
        <w:rPr>
          <w:rFonts w:hAnsi="Times New Roman"/>
          <w:i/>
          <w:szCs w:val="24"/>
          <w:lang w:val="es-AR"/>
        </w:rPr>
        <w:t>Página/12</w:t>
      </w:r>
      <w:r w:rsidRPr="00BA58F0">
        <w:rPr>
          <w:rFonts w:hAnsi="Times New Roman"/>
          <w:szCs w:val="24"/>
          <w:lang w:val="es-AR"/>
        </w:rPr>
        <w:t>, 9 de enero.</w:t>
      </w:r>
    </w:p>
    <w:p w:rsidR="00E37579" w:rsidRPr="003D324A" w:rsidRDefault="00E37579" w:rsidP="002C03A8">
      <w:pPr>
        <w:pStyle w:val="Predeterminado"/>
        <w:spacing w:line="360" w:lineRule="auto"/>
        <w:jc w:val="both"/>
        <w:rPr>
          <w:rFonts w:hAnsi="Times New Roman"/>
          <w:szCs w:val="24"/>
          <w:lang w:val="es-AR"/>
        </w:rPr>
      </w:pPr>
      <w:r w:rsidRPr="003D324A">
        <w:rPr>
          <w:rFonts w:hAnsi="Times New Roman"/>
          <w:szCs w:val="24"/>
          <w:lang w:val="es-AR"/>
        </w:rPr>
        <w:t>Rus, G. 2017b. “</w:t>
      </w:r>
      <w:r w:rsidRPr="003D324A">
        <w:rPr>
          <w:rFonts w:eastAsia="Times New Roman" w:hAnsi="Times New Roman"/>
          <w:szCs w:val="24"/>
          <w:lang w:val="es-AR"/>
        </w:rPr>
        <w:t>Amazonas-3 de</w:t>
      </w:r>
      <w:r w:rsidRPr="003D324A">
        <w:rPr>
          <w:rFonts w:hAnsi="Times New Roman"/>
          <w:szCs w:val="24"/>
          <w:lang w:val="es-AR"/>
        </w:rPr>
        <w:t xml:space="preserve"> </w:t>
      </w:r>
      <w:proofErr w:type="spellStart"/>
      <w:r w:rsidRPr="003D324A">
        <w:rPr>
          <w:rFonts w:eastAsia="Times New Roman" w:hAnsi="Times New Roman"/>
          <w:szCs w:val="24"/>
          <w:lang w:val="es-AR"/>
        </w:rPr>
        <w:t>Hispasat</w:t>
      </w:r>
      <w:proofErr w:type="spellEnd"/>
      <w:r w:rsidRPr="003D324A">
        <w:rPr>
          <w:rFonts w:eastAsia="Times New Roman" w:hAnsi="Times New Roman"/>
          <w:szCs w:val="24"/>
          <w:lang w:val="es-AR"/>
        </w:rPr>
        <w:t xml:space="preserve"> autorizado</w:t>
      </w:r>
      <w:r w:rsidRPr="003D324A">
        <w:rPr>
          <w:rFonts w:hAnsi="Times New Roman"/>
          <w:szCs w:val="24"/>
          <w:lang w:val="es-AR"/>
        </w:rPr>
        <w:t xml:space="preserve"> </w:t>
      </w:r>
      <w:r w:rsidRPr="003D324A">
        <w:rPr>
          <w:rFonts w:eastAsia="Times New Roman" w:hAnsi="Times New Roman"/>
          <w:szCs w:val="24"/>
          <w:lang w:val="es-AR"/>
        </w:rPr>
        <w:t>en Argentina”</w:t>
      </w:r>
      <w:r w:rsidRPr="003D324A">
        <w:rPr>
          <w:rFonts w:hAnsi="Times New Roman"/>
          <w:bCs/>
          <w:szCs w:val="24"/>
          <w:lang w:val="es-AR"/>
        </w:rPr>
        <w:t xml:space="preserve">, </w:t>
      </w:r>
      <w:proofErr w:type="spellStart"/>
      <w:r w:rsidRPr="003D324A">
        <w:rPr>
          <w:rFonts w:hAnsi="Times New Roman"/>
          <w:bCs/>
          <w:i/>
          <w:szCs w:val="24"/>
          <w:lang w:val="es-AR"/>
        </w:rPr>
        <w:t>Latam</w:t>
      </w:r>
      <w:proofErr w:type="spellEnd"/>
      <w:r w:rsidRPr="003D324A">
        <w:rPr>
          <w:rFonts w:hAnsi="Times New Roman"/>
          <w:bCs/>
          <w:i/>
          <w:szCs w:val="24"/>
          <w:lang w:val="es-AR"/>
        </w:rPr>
        <w:t xml:space="preserve"> Satelital</w:t>
      </w:r>
      <w:r w:rsidRPr="003D324A">
        <w:rPr>
          <w:rFonts w:hAnsi="Times New Roman"/>
          <w:bCs/>
          <w:szCs w:val="24"/>
          <w:lang w:val="es-AR"/>
        </w:rPr>
        <w:t>, 26 de junio.</w:t>
      </w:r>
    </w:p>
    <w:p w:rsidR="00E37579" w:rsidRPr="005478D5" w:rsidRDefault="00E37579" w:rsidP="00EB2ADC">
      <w:pPr>
        <w:pStyle w:val="Predeterminado"/>
        <w:spacing w:line="360" w:lineRule="auto"/>
        <w:jc w:val="both"/>
        <w:rPr>
          <w:rFonts w:hAnsi="Times New Roman"/>
          <w:lang w:val="en-US"/>
        </w:rPr>
      </w:pPr>
      <w:r w:rsidRPr="002B33BC">
        <w:rPr>
          <w:rFonts w:hAnsi="Times New Roman"/>
          <w:lang w:val="en-US"/>
        </w:rPr>
        <w:t>Salomon, J.J (1973), “Science Policy Studies a</w:t>
      </w:r>
      <w:r w:rsidRPr="005478D5">
        <w:rPr>
          <w:rFonts w:hAnsi="Times New Roman"/>
          <w:lang w:val="en-US"/>
        </w:rPr>
        <w:t>nd the Development of Science Policy”, en I. Spiegel-</w:t>
      </w:r>
      <w:proofErr w:type="spellStart"/>
      <w:r w:rsidRPr="005478D5">
        <w:rPr>
          <w:rFonts w:hAnsi="Times New Roman"/>
          <w:lang w:val="en-US"/>
        </w:rPr>
        <w:t>Rösing</w:t>
      </w:r>
      <w:proofErr w:type="spellEnd"/>
      <w:r w:rsidRPr="005478D5">
        <w:rPr>
          <w:rFonts w:hAnsi="Times New Roman"/>
          <w:lang w:val="en-US"/>
        </w:rPr>
        <w:t xml:space="preserve"> y D. Price (comps.), </w:t>
      </w:r>
      <w:r w:rsidRPr="005478D5">
        <w:rPr>
          <w:rFonts w:hAnsi="Times New Roman"/>
          <w:i/>
          <w:iCs/>
          <w:lang w:val="en-US"/>
        </w:rPr>
        <w:t>Science, Technology and Society: A Cross-disciplinary Perspective</w:t>
      </w:r>
      <w:r w:rsidRPr="005478D5">
        <w:rPr>
          <w:rFonts w:hAnsi="Times New Roman"/>
          <w:lang w:val="en-US"/>
        </w:rPr>
        <w:t xml:space="preserve">, </w:t>
      </w:r>
      <w:proofErr w:type="spellStart"/>
      <w:r w:rsidRPr="005478D5">
        <w:rPr>
          <w:rFonts w:hAnsi="Times New Roman"/>
          <w:lang w:val="en-US"/>
        </w:rPr>
        <w:t>Londres</w:t>
      </w:r>
      <w:proofErr w:type="spellEnd"/>
      <w:r w:rsidRPr="005478D5">
        <w:rPr>
          <w:rFonts w:hAnsi="Times New Roman"/>
          <w:lang w:val="en-US"/>
        </w:rPr>
        <w:t xml:space="preserve">, </w:t>
      </w:r>
      <w:proofErr w:type="gramStart"/>
      <w:r w:rsidRPr="005478D5">
        <w:rPr>
          <w:rFonts w:hAnsi="Times New Roman"/>
          <w:lang w:val="en-US"/>
        </w:rPr>
        <w:t>Sage</w:t>
      </w:r>
      <w:proofErr w:type="gramEnd"/>
      <w:r w:rsidRPr="005478D5">
        <w:rPr>
          <w:rFonts w:hAnsi="Times New Roman"/>
          <w:lang w:val="en-US"/>
        </w:rPr>
        <w:t xml:space="preserve">. </w:t>
      </w:r>
    </w:p>
    <w:p w:rsidR="00E37579" w:rsidRPr="005478D5" w:rsidRDefault="00E37579" w:rsidP="00EB2ADC">
      <w:pPr>
        <w:pStyle w:val="Predeterminado"/>
        <w:spacing w:line="360" w:lineRule="auto"/>
        <w:jc w:val="both"/>
        <w:rPr>
          <w:rFonts w:hAnsi="Times New Roman"/>
          <w:lang w:val="es-AR" w:eastAsia="es-ES"/>
        </w:rPr>
      </w:pPr>
      <w:r>
        <w:rPr>
          <w:rFonts w:hAnsi="Times New Roman"/>
          <w:lang w:val="es-AR" w:eastAsia="es-ES"/>
        </w:rPr>
        <w:t>Sábato, J.</w:t>
      </w:r>
      <w:r w:rsidRPr="005478D5">
        <w:rPr>
          <w:rFonts w:hAnsi="Times New Roman"/>
          <w:lang w:val="es-AR" w:eastAsia="es-ES"/>
        </w:rPr>
        <w:t xml:space="preserve"> (1973), “El comercio de tecnología”, </w:t>
      </w:r>
      <w:r w:rsidRPr="005478D5">
        <w:rPr>
          <w:rFonts w:hAnsi="Times New Roman"/>
          <w:i/>
          <w:lang w:val="es-AR" w:eastAsia="es-ES"/>
        </w:rPr>
        <w:t>Programa de transferencia</w:t>
      </w:r>
      <w:r w:rsidRPr="005478D5">
        <w:rPr>
          <w:rFonts w:hAnsi="Times New Roman"/>
          <w:lang w:val="es-AR" w:eastAsia="es-ES"/>
        </w:rPr>
        <w:t>, Bariloche, Fundación</w:t>
      </w:r>
      <w:r>
        <w:rPr>
          <w:rFonts w:hAnsi="Times New Roman"/>
          <w:lang w:val="es-AR" w:eastAsia="es-ES"/>
        </w:rPr>
        <w:t xml:space="preserve"> </w:t>
      </w:r>
      <w:r w:rsidRPr="005478D5">
        <w:rPr>
          <w:rFonts w:hAnsi="Times New Roman"/>
          <w:lang w:val="es-AR" w:eastAsia="es-ES"/>
        </w:rPr>
        <w:t>Bariloche.</w:t>
      </w:r>
    </w:p>
    <w:p w:rsidR="00E37579" w:rsidRPr="009B6428" w:rsidRDefault="00E37579" w:rsidP="00EB2ADC">
      <w:pPr>
        <w:pStyle w:val="Predeterminado"/>
        <w:spacing w:line="360" w:lineRule="auto"/>
        <w:jc w:val="both"/>
        <w:rPr>
          <w:rFonts w:hAnsi="Times New Roman"/>
          <w:lang w:val="es-AR" w:eastAsia="es-ES"/>
        </w:rPr>
      </w:pPr>
      <w:r>
        <w:rPr>
          <w:rFonts w:hAnsi="Times New Roman"/>
          <w:lang w:val="es-AR" w:eastAsia="es-ES"/>
        </w:rPr>
        <w:t>Sábato, J. y Botana, N.</w:t>
      </w:r>
      <w:r w:rsidRPr="005478D5">
        <w:rPr>
          <w:rFonts w:hAnsi="Times New Roman"/>
          <w:lang w:val="es-AR" w:eastAsia="es-ES"/>
        </w:rPr>
        <w:t xml:space="preserve"> (</w:t>
      </w:r>
      <w:r w:rsidRPr="005478D5">
        <w:rPr>
          <w:rFonts w:hAnsi="Times New Roman"/>
          <w:lang w:val="es-ES_tradnl"/>
        </w:rPr>
        <w:t>2011 [1968])</w:t>
      </w:r>
      <w:r w:rsidRPr="005478D5">
        <w:rPr>
          <w:rFonts w:hAnsi="Times New Roman"/>
          <w:lang w:val="es-AR" w:eastAsia="es-ES"/>
        </w:rPr>
        <w:t>, “La ciencia y la tecnología en el desarrol</w:t>
      </w:r>
      <w:r>
        <w:rPr>
          <w:rFonts w:hAnsi="Times New Roman"/>
          <w:lang w:val="es-AR" w:eastAsia="es-ES"/>
        </w:rPr>
        <w:t xml:space="preserve">lo futuro de América Latina”, </w:t>
      </w:r>
      <w:r w:rsidRPr="009B6428">
        <w:rPr>
          <w:rFonts w:hAnsi="Times New Roman"/>
          <w:lang w:val="es-AR" w:eastAsia="es-ES"/>
        </w:rPr>
        <w:t>pp. 215-221</w:t>
      </w:r>
      <w:r>
        <w:rPr>
          <w:rFonts w:hAnsi="Times New Roman"/>
          <w:lang w:val="es-AR" w:eastAsia="es-ES"/>
        </w:rPr>
        <w:t>. En: Sá</w:t>
      </w:r>
      <w:r w:rsidRPr="005478D5">
        <w:rPr>
          <w:rFonts w:hAnsi="Times New Roman"/>
          <w:lang w:val="es-AR" w:eastAsia="es-ES"/>
        </w:rPr>
        <w:t>bato, J. (</w:t>
      </w:r>
      <w:proofErr w:type="spellStart"/>
      <w:r w:rsidRPr="005478D5">
        <w:rPr>
          <w:rFonts w:hAnsi="Times New Roman"/>
          <w:lang w:val="es-AR" w:eastAsia="es-ES"/>
        </w:rPr>
        <w:t>comp.</w:t>
      </w:r>
      <w:proofErr w:type="spellEnd"/>
      <w:r w:rsidRPr="005478D5">
        <w:rPr>
          <w:rFonts w:hAnsi="Times New Roman"/>
          <w:lang w:val="es-AR" w:eastAsia="es-ES"/>
        </w:rPr>
        <w:t xml:space="preserve">), </w:t>
      </w:r>
      <w:r w:rsidRPr="005478D5">
        <w:rPr>
          <w:rFonts w:hAnsi="Times New Roman"/>
          <w:i/>
          <w:lang w:val="es-AR" w:eastAsia="es-ES"/>
        </w:rPr>
        <w:t>El pensamiento latinoamericano en la problemática ciencia-tecnología-desarrollo-dependencia</w:t>
      </w:r>
      <w:r w:rsidRPr="005478D5">
        <w:rPr>
          <w:rFonts w:hAnsi="Times New Roman"/>
          <w:lang w:val="es-AR" w:eastAsia="es-ES"/>
        </w:rPr>
        <w:t xml:space="preserve">. </w:t>
      </w:r>
      <w:r w:rsidRPr="009B6428">
        <w:rPr>
          <w:rFonts w:hAnsi="Times New Roman"/>
          <w:lang w:val="es-AR" w:eastAsia="es-ES"/>
        </w:rPr>
        <w:t xml:space="preserve">Buenos Aires, </w:t>
      </w:r>
      <w:proofErr w:type="spellStart"/>
      <w:r w:rsidRPr="009B6428">
        <w:rPr>
          <w:rFonts w:hAnsi="Times New Roman"/>
          <w:lang w:val="es-AR" w:eastAsia="es-ES"/>
        </w:rPr>
        <w:t>MINCyT</w:t>
      </w:r>
      <w:proofErr w:type="spellEnd"/>
      <w:r w:rsidRPr="009B6428">
        <w:rPr>
          <w:rFonts w:hAnsi="Times New Roman"/>
          <w:lang w:val="es-AR" w:eastAsia="es-ES"/>
        </w:rPr>
        <w:t xml:space="preserve"> </w:t>
      </w:r>
      <w:r>
        <w:rPr>
          <w:rFonts w:hAnsi="Times New Roman"/>
          <w:lang w:val="es-AR" w:eastAsia="es-ES"/>
        </w:rPr>
        <w:t>y Ediciones Biblioteca Nacional</w:t>
      </w:r>
      <w:r w:rsidRPr="009B6428">
        <w:rPr>
          <w:rFonts w:hAnsi="Times New Roman"/>
          <w:lang w:val="es-AR" w:eastAsia="es-ES"/>
        </w:rPr>
        <w:t>.</w:t>
      </w:r>
    </w:p>
    <w:p w:rsidR="00E37579" w:rsidRDefault="00E37579" w:rsidP="00EB2ADC">
      <w:pPr>
        <w:pStyle w:val="Predeterminado"/>
        <w:spacing w:line="360" w:lineRule="auto"/>
        <w:jc w:val="both"/>
        <w:rPr>
          <w:rFonts w:hAnsi="Times New Roman"/>
          <w:lang w:val="es-MX"/>
        </w:rPr>
      </w:pPr>
      <w:r>
        <w:rPr>
          <w:rFonts w:hAnsi="Times New Roman"/>
          <w:lang w:val="es-MX"/>
        </w:rPr>
        <w:t>Sábato, J. y Mackenzie, M.</w:t>
      </w:r>
      <w:r w:rsidRPr="005478D5">
        <w:rPr>
          <w:rFonts w:hAnsi="Times New Roman"/>
          <w:lang w:val="es-MX"/>
        </w:rPr>
        <w:t xml:space="preserve"> (1982), </w:t>
      </w:r>
      <w:r w:rsidRPr="005478D5">
        <w:rPr>
          <w:rFonts w:hAnsi="Times New Roman"/>
          <w:i/>
          <w:lang w:val="es-MX"/>
        </w:rPr>
        <w:t>La producción de tecnología. Autónoma o trasnacional</w:t>
      </w:r>
      <w:r w:rsidRPr="005478D5">
        <w:rPr>
          <w:rFonts w:hAnsi="Times New Roman"/>
          <w:lang w:val="es-MX"/>
        </w:rPr>
        <w:t>. México, D.F., Nueva Imagen.</w:t>
      </w:r>
    </w:p>
    <w:p w:rsidR="00E37579" w:rsidRDefault="00E37579" w:rsidP="00EB2ADC">
      <w:pPr>
        <w:pStyle w:val="Predeterminado"/>
        <w:spacing w:line="360" w:lineRule="auto"/>
        <w:jc w:val="both"/>
        <w:rPr>
          <w:rFonts w:hAnsi="Times New Roman"/>
          <w:lang w:val="es-MX"/>
        </w:rPr>
      </w:pPr>
      <w:proofErr w:type="spellStart"/>
      <w:r>
        <w:rPr>
          <w:rFonts w:hAnsi="Times New Roman"/>
          <w:lang w:val="es-MX"/>
        </w:rPr>
        <w:t>Sakaiya</w:t>
      </w:r>
      <w:proofErr w:type="spellEnd"/>
      <w:r>
        <w:rPr>
          <w:rFonts w:hAnsi="Times New Roman"/>
          <w:lang w:val="es-MX"/>
        </w:rPr>
        <w:t xml:space="preserve">, T. (1995), </w:t>
      </w:r>
      <w:r w:rsidRPr="002D60D1">
        <w:rPr>
          <w:rFonts w:hAnsi="Times New Roman"/>
          <w:i/>
          <w:lang w:val="es-MX"/>
        </w:rPr>
        <w:t>Historia del futuro: la sociedad del conocimiento</w:t>
      </w:r>
      <w:r>
        <w:rPr>
          <w:rFonts w:hAnsi="Times New Roman"/>
          <w:lang w:val="es-MX"/>
        </w:rPr>
        <w:t xml:space="preserve">, Santiago de Chile, Editorial Andrés Bello. </w:t>
      </w:r>
    </w:p>
    <w:p w:rsidR="00E37579" w:rsidRDefault="00E37579" w:rsidP="00EB2ADC">
      <w:pPr>
        <w:pStyle w:val="Predeterminado"/>
        <w:spacing w:line="360" w:lineRule="auto"/>
        <w:jc w:val="both"/>
        <w:rPr>
          <w:sz w:val="20"/>
          <w:lang w:val="es-AR"/>
        </w:rPr>
      </w:pPr>
    </w:p>
    <w:p w:rsidR="00E37579" w:rsidRDefault="00E37579" w:rsidP="00EB2ADC">
      <w:pPr>
        <w:pStyle w:val="Predeterminado"/>
        <w:spacing w:line="360" w:lineRule="auto"/>
        <w:jc w:val="both"/>
        <w:rPr>
          <w:sz w:val="20"/>
          <w:lang w:val="es-AR"/>
        </w:rPr>
      </w:pPr>
    </w:p>
    <w:sectPr w:rsidR="00E37579" w:rsidSect="0030374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1B" w:rsidRDefault="00297B1B">
      <w:pPr>
        <w:spacing w:after="0" w:line="240" w:lineRule="auto"/>
      </w:pPr>
      <w:r>
        <w:separator/>
      </w:r>
    </w:p>
  </w:endnote>
  <w:endnote w:type="continuationSeparator" w:id="0">
    <w:p w:rsidR="00297B1B" w:rsidRDefault="0029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heSans 4-SemiLight">
    <w:altName w:val="TheSans 4-SemiLight"/>
    <w:panose1 w:val="00000000000000000000"/>
    <w:charset w:val="00"/>
    <w:family w:val="swiss"/>
    <w:notTrueType/>
    <w:pitch w:val="default"/>
    <w:sig w:usb0="00000003" w:usb1="00000000" w:usb2="00000000" w:usb3="00000000" w:csb0="00000001" w:csb1="00000000"/>
  </w:font>
  <w:font w:name="AJensonPro-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1B" w:rsidRDefault="00297B1B">
      <w:pPr>
        <w:spacing w:after="0" w:line="240" w:lineRule="auto"/>
      </w:pPr>
      <w:r>
        <w:separator/>
      </w:r>
    </w:p>
  </w:footnote>
  <w:footnote w:type="continuationSeparator" w:id="0">
    <w:p w:rsidR="00297B1B" w:rsidRDefault="00297B1B">
      <w:pPr>
        <w:spacing w:after="0" w:line="240" w:lineRule="auto"/>
      </w:pPr>
      <w:r>
        <w:continuationSeparator/>
      </w:r>
    </w:p>
  </w:footnote>
  <w:footnote w:id="1">
    <w:p w:rsidR="00E37579" w:rsidRDefault="00E37579" w:rsidP="009F14D2">
      <w:pPr>
        <w:pStyle w:val="Textonotapie"/>
        <w:spacing w:after="0" w:line="240" w:lineRule="auto"/>
      </w:pPr>
      <w:r w:rsidRPr="005A5FB0">
        <w:rPr>
          <w:rStyle w:val="Refdenotaalpie"/>
          <w:sz w:val="20"/>
          <w:szCs w:val="20"/>
        </w:rPr>
        <w:footnoteRef/>
      </w:r>
      <w:r>
        <w:rPr>
          <w:sz w:val="20"/>
          <w:szCs w:val="20"/>
        </w:rPr>
        <w:t xml:space="preserve"> P</w:t>
      </w:r>
      <w:r w:rsidRPr="005A5FB0">
        <w:rPr>
          <w:sz w:val="20"/>
          <w:szCs w:val="20"/>
        </w:rPr>
        <w:t>ara una caracterización de la política neoliberal en el caso argentino</w:t>
      </w:r>
      <w:r>
        <w:rPr>
          <w:sz w:val="20"/>
          <w:szCs w:val="20"/>
        </w:rPr>
        <w:t xml:space="preserve">, ver </w:t>
      </w:r>
      <w:proofErr w:type="spellStart"/>
      <w:r w:rsidRPr="005A5FB0">
        <w:rPr>
          <w:sz w:val="20"/>
          <w:szCs w:val="20"/>
        </w:rPr>
        <w:t>Kicillof</w:t>
      </w:r>
      <w:proofErr w:type="spellEnd"/>
      <w:r w:rsidRPr="005A5FB0">
        <w:rPr>
          <w:sz w:val="20"/>
          <w:szCs w:val="20"/>
        </w:rPr>
        <w:t xml:space="preserve"> y Bianco (2017).</w:t>
      </w:r>
      <w:r w:rsidRPr="005F6194">
        <w:t xml:space="preserve"> </w:t>
      </w:r>
      <w:r w:rsidRPr="005F6194">
        <w:rPr>
          <w:sz w:val="20"/>
          <w:szCs w:val="20"/>
        </w:rPr>
        <w:t xml:space="preserve">Las administraciones neoliberales latinoamericanas, sin embargo, hacen caso omiso de las conductas de </w:t>
      </w:r>
      <w:r>
        <w:rPr>
          <w:sz w:val="20"/>
          <w:szCs w:val="20"/>
        </w:rPr>
        <w:t xml:space="preserve">las </w:t>
      </w:r>
      <w:r w:rsidRPr="005F6194">
        <w:rPr>
          <w:sz w:val="20"/>
          <w:szCs w:val="20"/>
        </w:rPr>
        <w:t>administraciones de los países centrales a la</w:t>
      </w:r>
      <w:r>
        <w:rPr>
          <w:sz w:val="20"/>
          <w:szCs w:val="20"/>
        </w:rPr>
        <w:t>s que desean imitar. Si consideramos EEUU, por ejemplo</w:t>
      </w:r>
      <w:r w:rsidRPr="005F6194">
        <w:rPr>
          <w:sz w:val="20"/>
          <w:szCs w:val="20"/>
        </w:rPr>
        <w:t>,</w:t>
      </w:r>
      <w:r>
        <w:rPr>
          <w:sz w:val="20"/>
          <w:szCs w:val="20"/>
        </w:rPr>
        <w:t xml:space="preserve"> desde el Proyecto Manhattan, el Estado interviene decididamente en la promoción y ejecución de la ciencia y la tecnología (Bush, 1940; </w:t>
      </w:r>
      <w:proofErr w:type="spellStart"/>
      <w:r>
        <w:rPr>
          <w:sz w:val="20"/>
          <w:szCs w:val="20"/>
        </w:rPr>
        <w:t>Mazzucato</w:t>
      </w:r>
      <w:proofErr w:type="spellEnd"/>
      <w:r>
        <w:rPr>
          <w:sz w:val="20"/>
          <w:szCs w:val="20"/>
        </w:rPr>
        <w:t xml:space="preserve">, 2013).   </w:t>
      </w:r>
      <w:r w:rsidRPr="005A5FB0">
        <w:rPr>
          <w:sz w:val="20"/>
          <w:szCs w:val="20"/>
        </w:rPr>
        <w:t xml:space="preserve"> </w:t>
      </w:r>
    </w:p>
  </w:footnote>
  <w:footnote w:id="2">
    <w:p w:rsidR="00E37579" w:rsidRDefault="00E37579" w:rsidP="00E2648A">
      <w:pPr>
        <w:pStyle w:val="Textonotapie"/>
        <w:spacing w:after="0" w:line="240" w:lineRule="auto"/>
      </w:pPr>
      <w:r w:rsidRPr="005A5FB0">
        <w:rPr>
          <w:rStyle w:val="Refdenotaalpie"/>
          <w:sz w:val="20"/>
          <w:szCs w:val="20"/>
        </w:rPr>
        <w:footnoteRef/>
      </w:r>
      <w:r>
        <w:rPr>
          <w:sz w:val="20"/>
          <w:szCs w:val="20"/>
        </w:rPr>
        <w:t xml:space="preserve"> Utilizamos la expresión “orientada a objetivo” como equivalente a la expresión “</w:t>
      </w:r>
      <w:proofErr w:type="spellStart"/>
      <w:r>
        <w:rPr>
          <w:sz w:val="20"/>
          <w:szCs w:val="20"/>
        </w:rPr>
        <w:t>mission</w:t>
      </w:r>
      <w:proofErr w:type="spellEnd"/>
      <w:r>
        <w:rPr>
          <w:sz w:val="20"/>
          <w:szCs w:val="20"/>
        </w:rPr>
        <w:t xml:space="preserve"> </w:t>
      </w:r>
      <w:proofErr w:type="spellStart"/>
      <w:r>
        <w:rPr>
          <w:sz w:val="20"/>
          <w:szCs w:val="20"/>
        </w:rPr>
        <w:t>oriented</w:t>
      </w:r>
      <w:proofErr w:type="spellEnd"/>
      <w:r>
        <w:rPr>
          <w:sz w:val="20"/>
          <w:szCs w:val="20"/>
        </w:rPr>
        <w:t xml:space="preserve">”. Sobre políticas orientadas a objetivos, ver </w:t>
      </w:r>
      <w:proofErr w:type="spellStart"/>
      <w:r>
        <w:rPr>
          <w:sz w:val="20"/>
          <w:szCs w:val="20"/>
        </w:rPr>
        <w:t>Ergas</w:t>
      </w:r>
      <w:proofErr w:type="spellEnd"/>
      <w:r>
        <w:rPr>
          <w:sz w:val="20"/>
          <w:szCs w:val="20"/>
        </w:rPr>
        <w:t xml:space="preserve"> (1987) y </w:t>
      </w:r>
      <w:proofErr w:type="spellStart"/>
      <w:r>
        <w:rPr>
          <w:sz w:val="20"/>
          <w:szCs w:val="20"/>
        </w:rPr>
        <w:t>Mazzucato</w:t>
      </w:r>
      <w:proofErr w:type="spellEnd"/>
      <w:r>
        <w:rPr>
          <w:sz w:val="20"/>
          <w:szCs w:val="20"/>
        </w:rPr>
        <w:t xml:space="preserve"> y </w:t>
      </w:r>
      <w:proofErr w:type="spellStart"/>
      <w:r>
        <w:rPr>
          <w:sz w:val="20"/>
          <w:szCs w:val="20"/>
        </w:rPr>
        <w:t>Penna</w:t>
      </w:r>
      <w:proofErr w:type="spellEnd"/>
      <w:r>
        <w:rPr>
          <w:sz w:val="20"/>
          <w:szCs w:val="20"/>
        </w:rPr>
        <w:t xml:space="preserve"> (2016).</w:t>
      </w:r>
    </w:p>
  </w:footnote>
  <w:footnote w:id="3">
    <w:p w:rsidR="00E37579" w:rsidRDefault="00E37579" w:rsidP="005A5FB0">
      <w:pPr>
        <w:pStyle w:val="Textonotapie"/>
        <w:spacing w:after="0" w:line="240" w:lineRule="auto"/>
        <w:jc w:val="both"/>
      </w:pPr>
      <w:r w:rsidRPr="005A5FB0">
        <w:rPr>
          <w:rStyle w:val="Refdenotaalpie"/>
          <w:sz w:val="20"/>
          <w:szCs w:val="20"/>
        </w:rPr>
        <w:footnoteRef/>
      </w:r>
      <w:r w:rsidRPr="005A5FB0">
        <w:rPr>
          <w:sz w:val="20"/>
          <w:szCs w:val="20"/>
        </w:rPr>
        <w:t xml:space="preserve"> Cómo se compone esta agenda social problemática, qué temas ingresan y qué temas son excluidos, depende de la coyuntura histórica, que señala qué asuntos exige</w:t>
      </w:r>
      <w:r>
        <w:rPr>
          <w:sz w:val="20"/>
          <w:szCs w:val="20"/>
        </w:rPr>
        <w:t>n intervención del E</w:t>
      </w:r>
      <w:r w:rsidRPr="005A5FB0">
        <w:rPr>
          <w:sz w:val="20"/>
          <w:szCs w:val="20"/>
        </w:rPr>
        <w:t>stado; no obstante, “son las tomas de posición d</w:t>
      </w:r>
      <w:r>
        <w:rPr>
          <w:sz w:val="20"/>
          <w:szCs w:val="20"/>
        </w:rPr>
        <w:t>e quienes actúan en nombre del E</w:t>
      </w:r>
      <w:r w:rsidRPr="005A5FB0">
        <w:rPr>
          <w:sz w:val="20"/>
          <w:szCs w:val="20"/>
        </w:rPr>
        <w:t xml:space="preserve">stado o asumen su representación las que indican, con mayor claridad, cuáles son las orientaciones político-ideológicas implícitas en </w:t>
      </w:r>
      <w:r>
        <w:rPr>
          <w:sz w:val="20"/>
          <w:szCs w:val="20"/>
        </w:rPr>
        <w:t>sus acciones” (</w:t>
      </w:r>
      <w:proofErr w:type="spellStart"/>
      <w:r>
        <w:rPr>
          <w:sz w:val="20"/>
          <w:szCs w:val="20"/>
        </w:rPr>
        <w:t>Oszlak</w:t>
      </w:r>
      <w:proofErr w:type="spellEnd"/>
      <w:r>
        <w:rPr>
          <w:sz w:val="20"/>
          <w:szCs w:val="20"/>
        </w:rPr>
        <w:t xml:space="preserve">, 2011: </w:t>
      </w:r>
      <w:r w:rsidRPr="005A5FB0">
        <w:rPr>
          <w:sz w:val="20"/>
          <w:szCs w:val="20"/>
        </w:rPr>
        <w:t>6).</w:t>
      </w:r>
    </w:p>
  </w:footnote>
  <w:footnote w:id="4">
    <w:p w:rsidR="00E37579" w:rsidRDefault="00E37579" w:rsidP="005A5FB0">
      <w:pPr>
        <w:pStyle w:val="Textonotapie"/>
        <w:spacing w:after="0" w:line="240" w:lineRule="auto"/>
        <w:jc w:val="both"/>
      </w:pPr>
      <w:r w:rsidRPr="005A5FB0">
        <w:rPr>
          <w:rStyle w:val="Refdenotaalpie"/>
          <w:sz w:val="20"/>
          <w:szCs w:val="20"/>
        </w:rPr>
        <w:footnoteRef/>
      </w:r>
      <w:r w:rsidRPr="005A5FB0">
        <w:rPr>
          <w:sz w:val="20"/>
          <w:szCs w:val="20"/>
        </w:rPr>
        <w:t xml:space="preserve"> Esto permite d</w:t>
      </w:r>
      <w:r>
        <w:rPr>
          <w:sz w:val="20"/>
          <w:szCs w:val="20"/>
        </w:rPr>
        <w:t>elinear el perfil que tiene un E</w:t>
      </w:r>
      <w:r w:rsidRPr="005A5FB0">
        <w:rPr>
          <w:sz w:val="20"/>
          <w:szCs w:val="20"/>
        </w:rPr>
        <w:t>stado en un período determinado, puesto que “el estado es, en última instancia, lo que hace” (</w:t>
      </w:r>
      <w:proofErr w:type="spellStart"/>
      <w:r w:rsidRPr="005A5FB0">
        <w:rPr>
          <w:sz w:val="20"/>
          <w:szCs w:val="20"/>
        </w:rPr>
        <w:t>Oszlak</w:t>
      </w:r>
      <w:proofErr w:type="spellEnd"/>
      <w:r w:rsidRPr="005A5FB0">
        <w:rPr>
          <w:sz w:val="20"/>
          <w:szCs w:val="20"/>
        </w:rPr>
        <w:t>, 201</w:t>
      </w:r>
      <w:r>
        <w:rPr>
          <w:sz w:val="20"/>
          <w:szCs w:val="20"/>
        </w:rPr>
        <w:t xml:space="preserve">1: </w:t>
      </w:r>
      <w:r w:rsidRPr="005A5FB0">
        <w:rPr>
          <w:sz w:val="20"/>
          <w:szCs w:val="20"/>
        </w:rPr>
        <w:t>5) y también lo q</w:t>
      </w:r>
      <w:r>
        <w:rPr>
          <w:sz w:val="20"/>
          <w:szCs w:val="20"/>
        </w:rPr>
        <w:t>ue no hace o deja de hacer. El E</w:t>
      </w:r>
      <w:r w:rsidRPr="005A5FB0">
        <w:rPr>
          <w:sz w:val="20"/>
          <w:szCs w:val="20"/>
        </w:rPr>
        <w:t xml:space="preserve">stado es acción y omisión que se expresa en sus políticas públicas.   </w:t>
      </w:r>
    </w:p>
  </w:footnote>
  <w:footnote w:id="5">
    <w:p w:rsidR="00E37579" w:rsidRDefault="00E37579" w:rsidP="005A5FB0">
      <w:pPr>
        <w:pStyle w:val="Textonotapie"/>
        <w:spacing w:after="0" w:line="240" w:lineRule="auto"/>
        <w:jc w:val="both"/>
      </w:pPr>
      <w:r w:rsidRPr="005A5FB0">
        <w:rPr>
          <w:rStyle w:val="Refdenotaalpie"/>
          <w:sz w:val="20"/>
          <w:szCs w:val="20"/>
        </w:rPr>
        <w:footnoteRef/>
      </w:r>
      <w:r w:rsidRPr="005A5FB0">
        <w:rPr>
          <w:sz w:val="20"/>
          <w:szCs w:val="20"/>
        </w:rPr>
        <w:t xml:space="preserve"> Aquí nos alejamos d</w:t>
      </w:r>
      <w:r>
        <w:rPr>
          <w:sz w:val="20"/>
          <w:szCs w:val="20"/>
        </w:rPr>
        <w:t xml:space="preserve">el análisis de </w:t>
      </w:r>
      <w:proofErr w:type="spellStart"/>
      <w:r>
        <w:rPr>
          <w:sz w:val="20"/>
          <w:szCs w:val="20"/>
        </w:rPr>
        <w:t>Oszlak</w:t>
      </w:r>
      <w:proofErr w:type="spellEnd"/>
      <w:r>
        <w:rPr>
          <w:sz w:val="20"/>
          <w:szCs w:val="20"/>
        </w:rPr>
        <w:t xml:space="preserve"> (2011: </w:t>
      </w:r>
      <w:r w:rsidRPr="005A5FB0">
        <w:rPr>
          <w:sz w:val="20"/>
          <w:szCs w:val="20"/>
        </w:rPr>
        <w:t xml:space="preserve">2), quien entiende por </w:t>
      </w:r>
      <w:r>
        <w:rPr>
          <w:sz w:val="20"/>
          <w:szCs w:val="20"/>
        </w:rPr>
        <w:t>política de Estado, la continuidad por parte del E</w:t>
      </w:r>
      <w:r w:rsidRPr="005A5FB0">
        <w:rPr>
          <w:sz w:val="20"/>
          <w:szCs w:val="20"/>
        </w:rPr>
        <w:t xml:space="preserve">stado “en la interpretación de una problemática social que deber ser resuelta y en la elección de los instrumentos destinados a resolverlos”. </w:t>
      </w:r>
    </w:p>
  </w:footnote>
  <w:footnote w:id="6">
    <w:p w:rsidR="00E37579" w:rsidRDefault="00E37579" w:rsidP="005A5FB0">
      <w:pPr>
        <w:pStyle w:val="Textonotapie"/>
        <w:spacing w:after="0" w:line="240" w:lineRule="auto"/>
      </w:pPr>
      <w:r w:rsidRPr="005A5FB0">
        <w:rPr>
          <w:rStyle w:val="Refdenotaalpie"/>
          <w:sz w:val="20"/>
          <w:szCs w:val="20"/>
        </w:rPr>
        <w:footnoteRef/>
      </w:r>
      <w:r w:rsidRPr="005A5FB0">
        <w:rPr>
          <w:sz w:val="20"/>
          <w:szCs w:val="20"/>
        </w:rPr>
        <w:t xml:space="preserve"> Para el cas</w:t>
      </w:r>
      <w:r>
        <w:rPr>
          <w:sz w:val="20"/>
          <w:szCs w:val="20"/>
        </w:rPr>
        <w:t>o de la política exterior, ver</w:t>
      </w:r>
      <w:r w:rsidRPr="005A5FB0">
        <w:rPr>
          <w:sz w:val="20"/>
          <w:szCs w:val="20"/>
        </w:rPr>
        <w:t xml:space="preserve"> Putnam </w:t>
      </w:r>
      <w:r w:rsidRPr="00CF3D15">
        <w:rPr>
          <w:sz w:val="20"/>
          <w:szCs w:val="20"/>
        </w:rPr>
        <w:t>(1988); para el caso de la política científica y tecn</w:t>
      </w:r>
      <w:r>
        <w:rPr>
          <w:sz w:val="20"/>
          <w:szCs w:val="20"/>
        </w:rPr>
        <w:t>ológica ver</w:t>
      </w:r>
      <w:r w:rsidRPr="00CF3D15">
        <w:rPr>
          <w:sz w:val="20"/>
          <w:szCs w:val="20"/>
        </w:rPr>
        <w:t>, como ejemplo paradigmático,</w:t>
      </w:r>
      <w:r>
        <w:rPr>
          <w:sz w:val="20"/>
          <w:szCs w:val="20"/>
        </w:rPr>
        <w:t xml:space="preserve"> el “I</w:t>
      </w:r>
      <w:r w:rsidRPr="00CF3D15">
        <w:rPr>
          <w:sz w:val="20"/>
          <w:szCs w:val="20"/>
        </w:rPr>
        <w:t xml:space="preserve">nforme </w:t>
      </w:r>
      <w:proofErr w:type="spellStart"/>
      <w:r w:rsidRPr="00CF3D15">
        <w:rPr>
          <w:sz w:val="20"/>
          <w:szCs w:val="20"/>
        </w:rPr>
        <w:t>Vannevar</w:t>
      </w:r>
      <w:proofErr w:type="spellEnd"/>
      <w:r w:rsidRPr="00CF3D15">
        <w:rPr>
          <w:sz w:val="20"/>
          <w:szCs w:val="20"/>
        </w:rPr>
        <w:t xml:space="preserve"> </w:t>
      </w:r>
      <w:r>
        <w:rPr>
          <w:sz w:val="20"/>
          <w:szCs w:val="20"/>
        </w:rPr>
        <w:t xml:space="preserve">Bush” </w:t>
      </w:r>
      <w:r w:rsidRPr="00CF3D15">
        <w:rPr>
          <w:sz w:val="20"/>
          <w:szCs w:val="20"/>
          <w:lang w:val="es-ES"/>
        </w:rPr>
        <w:t>(</w:t>
      </w:r>
      <w:r>
        <w:rPr>
          <w:sz w:val="20"/>
          <w:szCs w:val="20"/>
          <w:lang w:val="es-ES"/>
        </w:rPr>
        <w:t xml:space="preserve">Bush, </w:t>
      </w:r>
      <w:r w:rsidRPr="00CF3D15">
        <w:rPr>
          <w:sz w:val="20"/>
          <w:szCs w:val="20"/>
          <w:lang w:val="es-ES"/>
        </w:rPr>
        <w:t>1960 [1945])</w:t>
      </w:r>
      <w:r w:rsidRPr="00CF3D15">
        <w:rPr>
          <w:sz w:val="20"/>
          <w:szCs w:val="20"/>
        </w:rPr>
        <w:t xml:space="preserve">. </w:t>
      </w:r>
    </w:p>
  </w:footnote>
  <w:footnote w:id="7">
    <w:p w:rsidR="00E37579" w:rsidRDefault="00E37579" w:rsidP="005A5FB0">
      <w:pPr>
        <w:pStyle w:val="Textonotapie"/>
        <w:spacing w:after="0" w:line="240" w:lineRule="auto"/>
      </w:pPr>
      <w:r w:rsidRPr="005A5FB0">
        <w:rPr>
          <w:rStyle w:val="Refdenotaalpie"/>
          <w:sz w:val="20"/>
          <w:szCs w:val="20"/>
        </w:rPr>
        <w:footnoteRef/>
      </w:r>
      <w:r w:rsidRPr="005A5FB0">
        <w:rPr>
          <w:sz w:val="20"/>
          <w:szCs w:val="20"/>
        </w:rPr>
        <w:t xml:space="preserve"> Por supuesto, la interacción de la ciencia y la tecnología con el poder no es completamente independiente del diseño e instrumentación de las políticas científicas y tecnológicas. </w:t>
      </w:r>
    </w:p>
  </w:footnote>
  <w:footnote w:id="8">
    <w:p w:rsidR="00E37579" w:rsidRDefault="00E37579" w:rsidP="005A5FB0">
      <w:pPr>
        <w:pStyle w:val="Textonotapie"/>
        <w:spacing w:after="0" w:line="240" w:lineRule="auto"/>
      </w:pPr>
      <w:r w:rsidRPr="005A5FB0">
        <w:rPr>
          <w:rStyle w:val="Refdenotaalpie"/>
          <w:sz w:val="20"/>
          <w:szCs w:val="20"/>
        </w:rPr>
        <w:footnoteRef/>
      </w:r>
      <w:r>
        <w:rPr>
          <w:sz w:val="20"/>
          <w:szCs w:val="20"/>
        </w:rPr>
        <w:t xml:space="preserve"> Esta caracterización sitúa al E</w:t>
      </w:r>
      <w:r w:rsidRPr="005A5FB0">
        <w:rPr>
          <w:sz w:val="20"/>
          <w:szCs w:val="20"/>
        </w:rPr>
        <w:t>stado como constructor y tomador de decisiones de una polític</w:t>
      </w:r>
      <w:r w:rsidRPr="00D11F21">
        <w:rPr>
          <w:sz w:val="20"/>
          <w:szCs w:val="20"/>
        </w:rPr>
        <w:t>a científic</w:t>
      </w:r>
      <w:r>
        <w:rPr>
          <w:sz w:val="20"/>
          <w:szCs w:val="20"/>
        </w:rPr>
        <w:t>a y tecnológica, tenga o no el E</w:t>
      </w:r>
      <w:r w:rsidRPr="00D11F21">
        <w:rPr>
          <w:sz w:val="20"/>
          <w:szCs w:val="20"/>
        </w:rPr>
        <w:t xml:space="preserve">stado una política científica y tecnológica explícita o implícita </w:t>
      </w:r>
      <w:r>
        <w:rPr>
          <w:sz w:val="20"/>
          <w:szCs w:val="20"/>
        </w:rPr>
        <w:t>(Herrera, 1975 [1973]</w:t>
      </w:r>
      <w:r w:rsidRPr="00D11F21">
        <w:rPr>
          <w:sz w:val="20"/>
          <w:szCs w:val="20"/>
        </w:rPr>
        <w:t>)</w:t>
      </w:r>
      <w:r>
        <w:rPr>
          <w:sz w:val="20"/>
          <w:szCs w:val="20"/>
        </w:rPr>
        <w:t>.</w:t>
      </w:r>
    </w:p>
  </w:footnote>
  <w:footnote w:id="9">
    <w:p w:rsidR="00E37579" w:rsidRDefault="00E37579" w:rsidP="00137EE2">
      <w:pPr>
        <w:spacing w:after="0" w:line="240" w:lineRule="auto"/>
      </w:pPr>
      <w:r w:rsidRPr="005A5FB0">
        <w:rPr>
          <w:sz w:val="20"/>
          <w:vertAlign w:val="superscript"/>
        </w:rPr>
        <w:footnoteRef/>
      </w:r>
      <w:r w:rsidRPr="005A5FB0">
        <w:rPr>
          <w:sz w:val="20"/>
        </w:rPr>
        <w:t xml:space="preserve"> </w:t>
      </w:r>
      <w:proofErr w:type="spellStart"/>
      <w:r w:rsidRPr="005A5FB0">
        <w:rPr>
          <w:sz w:val="20"/>
        </w:rPr>
        <w:t>Oyarzábal</w:t>
      </w:r>
      <w:proofErr w:type="spellEnd"/>
      <w:r w:rsidRPr="005A5FB0">
        <w:rPr>
          <w:sz w:val="20"/>
        </w:rPr>
        <w:t xml:space="preserve"> toma esta distribución accionaria tomando como fuente un folleto de Daimler-Benz. </w:t>
      </w:r>
      <w:proofErr w:type="spellStart"/>
      <w:r w:rsidRPr="005A5FB0">
        <w:rPr>
          <w:sz w:val="20"/>
        </w:rPr>
        <w:t>Eckart</w:t>
      </w:r>
      <w:proofErr w:type="spellEnd"/>
      <w:r w:rsidRPr="005A5FB0">
        <w:rPr>
          <w:sz w:val="20"/>
        </w:rPr>
        <w:t xml:space="preserve"> </w:t>
      </w:r>
      <w:proofErr w:type="spellStart"/>
      <w:r w:rsidRPr="005A5FB0">
        <w:rPr>
          <w:sz w:val="20"/>
        </w:rPr>
        <w:t>Schober</w:t>
      </w:r>
      <w:proofErr w:type="spellEnd"/>
      <w:r w:rsidRPr="005A5FB0">
        <w:rPr>
          <w:sz w:val="20"/>
        </w:rPr>
        <w:t xml:space="preserve">, el entonces gerente general de </w:t>
      </w:r>
      <w:proofErr w:type="spellStart"/>
      <w:r w:rsidRPr="005A5FB0">
        <w:rPr>
          <w:sz w:val="20"/>
        </w:rPr>
        <w:t>NahuelSat</w:t>
      </w:r>
      <w:proofErr w:type="spellEnd"/>
      <w:r w:rsidRPr="005A5FB0">
        <w:rPr>
          <w:sz w:val="20"/>
        </w:rPr>
        <w:t xml:space="preserve">, confirma la participación de ANTEL </w:t>
      </w:r>
      <w:r w:rsidRPr="005A5FB0">
        <w:rPr>
          <w:color w:val="000000"/>
          <w:sz w:val="20"/>
          <w:shd w:val="clear" w:color="auto" w:fill="FFFFFF"/>
        </w:rPr>
        <w:t>(</w:t>
      </w:r>
      <w:r w:rsidRPr="005A5FB0">
        <w:rPr>
          <w:i/>
          <w:color w:val="000000"/>
          <w:sz w:val="20"/>
          <w:shd w:val="clear" w:color="auto" w:fill="FFFFFF"/>
        </w:rPr>
        <w:t>Clarín</w:t>
      </w:r>
      <w:r w:rsidRPr="005A5FB0">
        <w:rPr>
          <w:color w:val="000000"/>
          <w:sz w:val="20"/>
          <w:shd w:val="clear" w:color="auto" w:fill="FFFFFF"/>
        </w:rPr>
        <w:t>, 1996)</w:t>
      </w:r>
      <w:r w:rsidRPr="005A5FB0">
        <w:rPr>
          <w:sz w:val="20"/>
          <w:lang w:val="es-ES_tradnl"/>
        </w:rPr>
        <w:t>.</w:t>
      </w:r>
    </w:p>
  </w:footnote>
  <w:footnote w:id="10">
    <w:p w:rsidR="00E37579" w:rsidRDefault="00E37579" w:rsidP="007C267C">
      <w:pPr>
        <w:spacing w:after="0" w:line="240" w:lineRule="auto"/>
      </w:pPr>
      <w:r w:rsidRPr="007C267C">
        <w:rPr>
          <w:sz w:val="20"/>
          <w:vertAlign w:val="superscript"/>
        </w:rPr>
        <w:footnoteRef/>
      </w:r>
      <w:r w:rsidRPr="007C267C">
        <w:rPr>
          <w:sz w:val="20"/>
        </w:rPr>
        <w:t xml:space="preserve"> A</w:t>
      </w:r>
      <w:r w:rsidRPr="007C267C">
        <w:rPr>
          <w:rFonts w:eastAsia="Times New Roman"/>
          <w:sz w:val="20"/>
        </w:rPr>
        <w:t>probado por la Resolución 3609/99 de la Secretaría de Comunicaciones</w:t>
      </w:r>
      <w:r w:rsidRPr="007C267C">
        <w:rPr>
          <w:sz w:val="20"/>
          <w:lang w:val="es-ES_tradnl"/>
        </w:rPr>
        <w:t>.</w:t>
      </w:r>
    </w:p>
  </w:footnote>
  <w:footnote w:id="11">
    <w:p w:rsidR="00E37579" w:rsidRDefault="00E37579" w:rsidP="005A5FB0">
      <w:pPr>
        <w:pStyle w:val="Textonotapie"/>
        <w:spacing w:after="0" w:line="240" w:lineRule="auto"/>
      </w:pPr>
      <w:r w:rsidRPr="005A5FB0">
        <w:rPr>
          <w:rStyle w:val="Refdenotaalpie"/>
          <w:sz w:val="20"/>
          <w:szCs w:val="20"/>
        </w:rPr>
        <w:footnoteRef/>
      </w:r>
      <w:r w:rsidRPr="005A5FB0">
        <w:rPr>
          <w:sz w:val="20"/>
          <w:szCs w:val="20"/>
        </w:rPr>
        <w:t xml:space="preserve"> Estos</w:t>
      </w:r>
      <w:r>
        <w:rPr>
          <w:sz w:val="20"/>
          <w:szCs w:val="20"/>
        </w:rPr>
        <w:t xml:space="preserve"> tres</w:t>
      </w:r>
      <w:r w:rsidRPr="005A5FB0">
        <w:rPr>
          <w:sz w:val="20"/>
          <w:szCs w:val="20"/>
        </w:rPr>
        <w:t xml:space="preserve"> </w:t>
      </w:r>
      <w:r>
        <w:rPr>
          <w:sz w:val="20"/>
          <w:szCs w:val="20"/>
        </w:rPr>
        <w:t xml:space="preserve">aspectos </w:t>
      </w:r>
      <w:r w:rsidRPr="005A5FB0">
        <w:rPr>
          <w:sz w:val="20"/>
          <w:szCs w:val="20"/>
        </w:rPr>
        <w:t>están desarrollados en el estatuto de creación de ARSAT</w:t>
      </w:r>
      <w:r>
        <w:rPr>
          <w:sz w:val="20"/>
          <w:szCs w:val="20"/>
        </w:rPr>
        <w:t>, en Anexo I de la Ley 26.092 promulgada el 26 de abril de 2006</w:t>
      </w:r>
      <w:r w:rsidRPr="005A5FB0">
        <w:rPr>
          <w:sz w:val="20"/>
          <w:szCs w:val="20"/>
        </w:rPr>
        <w:t>.</w:t>
      </w:r>
    </w:p>
  </w:footnote>
  <w:footnote w:id="12">
    <w:p w:rsidR="00E37579" w:rsidRDefault="00E37579" w:rsidP="00C776A9">
      <w:pPr>
        <w:pStyle w:val="Textonotapie"/>
        <w:spacing w:after="0" w:line="240" w:lineRule="auto"/>
      </w:pPr>
      <w:r w:rsidRPr="005A5FB0">
        <w:rPr>
          <w:rStyle w:val="Refdenotaalpie"/>
          <w:sz w:val="20"/>
          <w:szCs w:val="20"/>
        </w:rPr>
        <w:footnoteRef/>
      </w:r>
      <w:r w:rsidRPr="005A5FB0">
        <w:rPr>
          <w:sz w:val="20"/>
          <w:szCs w:val="20"/>
        </w:rPr>
        <w:t xml:space="preserve"> </w:t>
      </w:r>
      <w:r>
        <w:rPr>
          <w:sz w:val="20"/>
          <w:szCs w:val="20"/>
        </w:rPr>
        <w:t xml:space="preserve">Si bien está fuera de los alcances del presente trabajo, es interesante señalar el documento de Elisa </w:t>
      </w:r>
      <w:proofErr w:type="spellStart"/>
      <w:r>
        <w:rPr>
          <w:sz w:val="20"/>
          <w:szCs w:val="20"/>
        </w:rPr>
        <w:t>Carrió</w:t>
      </w:r>
      <w:proofErr w:type="spellEnd"/>
      <w:r>
        <w:rPr>
          <w:sz w:val="20"/>
          <w:szCs w:val="20"/>
        </w:rPr>
        <w:t xml:space="preserve"> (2006), donde se plantean numerosas críticas a la creación y objetivos de ARSAT</w:t>
      </w:r>
      <w:r w:rsidRPr="005A5FB0">
        <w:rPr>
          <w:sz w:val="20"/>
          <w:szCs w:val="20"/>
        </w:rPr>
        <w:t>.</w:t>
      </w:r>
      <w:r>
        <w:rPr>
          <w:sz w:val="20"/>
          <w:szCs w:val="20"/>
        </w:rPr>
        <w:t xml:space="preserve"> Al presente, </w:t>
      </w:r>
      <w:proofErr w:type="spellStart"/>
      <w:r>
        <w:rPr>
          <w:sz w:val="20"/>
          <w:szCs w:val="20"/>
        </w:rPr>
        <w:t>Carrió</w:t>
      </w:r>
      <w:proofErr w:type="spellEnd"/>
      <w:r>
        <w:rPr>
          <w:sz w:val="20"/>
          <w:szCs w:val="20"/>
        </w:rPr>
        <w:t xml:space="preserve"> parece avalar las iniciativas del gobierno de </w:t>
      </w:r>
      <w:proofErr w:type="spellStart"/>
      <w:r>
        <w:rPr>
          <w:sz w:val="20"/>
          <w:szCs w:val="20"/>
        </w:rPr>
        <w:t>Macri</w:t>
      </w:r>
      <w:proofErr w:type="spellEnd"/>
      <w:r>
        <w:rPr>
          <w:sz w:val="20"/>
          <w:szCs w:val="20"/>
        </w:rPr>
        <w:t xml:space="preserve"> en relación con ARSAT, que incurren en lo que su documento critica.</w:t>
      </w:r>
    </w:p>
  </w:footnote>
  <w:footnote w:id="13">
    <w:p w:rsidR="00E37579" w:rsidRDefault="00E37579" w:rsidP="009714CE">
      <w:pPr>
        <w:pStyle w:val="Textonotapie"/>
        <w:spacing w:after="0" w:line="240" w:lineRule="auto"/>
      </w:pPr>
      <w:r w:rsidRPr="005A5FB0">
        <w:rPr>
          <w:rStyle w:val="Refdenotaalpie"/>
          <w:sz w:val="20"/>
          <w:szCs w:val="20"/>
        </w:rPr>
        <w:footnoteRef/>
      </w:r>
      <w:r w:rsidRPr="005A5FB0">
        <w:rPr>
          <w:sz w:val="20"/>
          <w:szCs w:val="20"/>
        </w:rPr>
        <w:t xml:space="preserve"> </w:t>
      </w:r>
      <w:r>
        <w:rPr>
          <w:sz w:val="20"/>
          <w:szCs w:val="20"/>
        </w:rPr>
        <w:t xml:space="preserve">Una contextualización de la creación de la CONAE en 1991 y el posterior desarrollo de satélites de observación desde la perspectiva de las relaciones internacionales, ver </w:t>
      </w:r>
      <w:proofErr w:type="spellStart"/>
      <w:r>
        <w:rPr>
          <w:sz w:val="20"/>
          <w:szCs w:val="20"/>
        </w:rPr>
        <w:t>Blinder</w:t>
      </w:r>
      <w:proofErr w:type="spellEnd"/>
      <w:r>
        <w:rPr>
          <w:sz w:val="20"/>
          <w:szCs w:val="20"/>
        </w:rPr>
        <w:t xml:space="preserve"> (2014)</w:t>
      </w:r>
      <w:r w:rsidRPr="005A5FB0">
        <w:rPr>
          <w:sz w:val="20"/>
          <w:szCs w:val="20"/>
        </w:rPr>
        <w:t>.</w:t>
      </w:r>
    </w:p>
  </w:footnote>
  <w:footnote w:id="14">
    <w:p w:rsidR="00E37579" w:rsidRDefault="00E37579" w:rsidP="00F6609B">
      <w:pPr>
        <w:pStyle w:val="Textonotapie"/>
        <w:spacing w:after="0" w:line="240" w:lineRule="auto"/>
      </w:pPr>
      <w:r w:rsidRPr="005A5FB0">
        <w:rPr>
          <w:rStyle w:val="Refdenotaalpie"/>
          <w:sz w:val="20"/>
          <w:szCs w:val="20"/>
        </w:rPr>
        <w:footnoteRef/>
      </w:r>
      <w:r>
        <w:rPr>
          <w:sz w:val="20"/>
          <w:szCs w:val="20"/>
        </w:rPr>
        <w:t xml:space="preserve"> La Ley 26.522, promulgada el 10 de octubre de 2009, reemplazó la “Ley de Radiodifusión” de la última dictadura. Sin embargo, el Grupo Clarín, a través de sucesivas medidas cautelares, logró paralizar la aplicación plena de la ley hasta que, a fines de octubre de 2013, la Corte Suprema de Justicia determinó la validez de los cuatro artículos cuestionados por el Grupo Clarín y la constitucionalidad general de la ley</w:t>
      </w:r>
      <w:r w:rsidRPr="005A5FB0">
        <w:rPr>
          <w:sz w:val="20"/>
          <w:szCs w:val="20"/>
        </w:rPr>
        <w:t>.</w:t>
      </w:r>
      <w:r>
        <w:rPr>
          <w:sz w:val="20"/>
          <w:szCs w:val="20"/>
        </w:rPr>
        <w:t xml:space="preserve"> Sin embargo, a comienzos de 2016, la ley fue modificada por Mauricio </w:t>
      </w:r>
      <w:proofErr w:type="spellStart"/>
      <w:r>
        <w:rPr>
          <w:sz w:val="20"/>
          <w:szCs w:val="20"/>
        </w:rPr>
        <w:t>Macri</w:t>
      </w:r>
      <w:proofErr w:type="spellEnd"/>
      <w:r>
        <w:rPr>
          <w:sz w:val="20"/>
          <w:szCs w:val="20"/>
        </w:rPr>
        <w:t xml:space="preserve"> a través de un decreto de necesidad y urgencia.</w:t>
      </w:r>
    </w:p>
  </w:footnote>
  <w:footnote w:id="15">
    <w:p w:rsidR="00E37579" w:rsidRDefault="00E37579" w:rsidP="002C03A8">
      <w:pPr>
        <w:pStyle w:val="Textonotapie"/>
        <w:spacing w:after="0" w:line="240" w:lineRule="auto"/>
      </w:pPr>
      <w:r w:rsidRPr="005A5FB0">
        <w:rPr>
          <w:rStyle w:val="Refdenotaalpie"/>
          <w:sz w:val="20"/>
          <w:szCs w:val="20"/>
        </w:rPr>
        <w:footnoteRef/>
      </w:r>
      <w:r w:rsidRPr="005A5FB0">
        <w:rPr>
          <w:sz w:val="20"/>
          <w:szCs w:val="20"/>
        </w:rPr>
        <w:t xml:space="preserve"> Un anál</w:t>
      </w:r>
      <w:r>
        <w:rPr>
          <w:sz w:val="20"/>
          <w:szCs w:val="20"/>
        </w:rPr>
        <w:t>isis y contextualización de la L</w:t>
      </w:r>
      <w:r w:rsidRPr="005A5FB0">
        <w:rPr>
          <w:sz w:val="20"/>
          <w:szCs w:val="20"/>
        </w:rPr>
        <w:t xml:space="preserve">ey 27.208, puede verse: Bianchi y Rus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0096"/>
    <w:multiLevelType w:val="hybridMultilevel"/>
    <w:tmpl w:val="0CD4812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15:restartNumberingAfterBreak="0">
    <w:nsid w:val="55F978B5"/>
    <w:multiLevelType w:val="hybridMultilevel"/>
    <w:tmpl w:val="FCF87E90"/>
    <w:lvl w:ilvl="0" w:tplc="A1B64ACC">
      <w:start w:val="1"/>
      <w:numFmt w:val="lowerLetter"/>
      <w:lvlText w:val="%1."/>
      <w:lvlJc w:val="left"/>
      <w:pPr>
        <w:ind w:left="720" w:hanging="360"/>
      </w:pPr>
      <w:rPr>
        <w:rFonts w:ascii="Gill Sans" w:hAnsi="Gill Sans" w:cs="Gill Sans" w:hint="default"/>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hyphenationZone w:val="425"/>
  <w:drawingGridHorizontalSpacing w:val="120"/>
  <w:drawingGridVerticalSpacing w:val="120"/>
  <w:displayHorizontalDrawingGridEvery w:val="3"/>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0D0C"/>
    <w:rsid w:val="00056FF8"/>
    <w:rsid w:val="0006394F"/>
    <w:rsid w:val="000651D3"/>
    <w:rsid w:val="000837AD"/>
    <w:rsid w:val="0008432E"/>
    <w:rsid w:val="00084F4F"/>
    <w:rsid w:val="000B0782"/>
    <w:rsid w:val="000B3073"/>
    <w:rsid w:val="000B4515"/>
    <w:rsid w:val="000D33D5"/>
    <w:rsid w:val="000E3306"/>
    <w:rsid w:val="000F25D2"/>
    <w:rsid w:val="001343FB"/>
    <w:rsid w:val="00137EE2"/>
    <w:rsid w:val="001453FC"/>
    <w:rsid w:val="00172A27"/>
    <w:rsid w:val="001848E6"/>
    <w:rsid w:val="00197745"/>
    <w:rsid w:val="001B522C"/>
    <w:rsid w:val="001C127B"/>
    <w:rsid w:val="001C5745"/>
    <w:rsid w:val="001D0A39"/>
    <w:rsid w:val="001D21E6"/>
    <w:rsid w:val="001D46B2"/>
    <w:rsid w:val="001D55A5"/>
    <w:rsid w:val="001E5ED9"/>
    <w:rsid w:val="001F703B"/>
    <w:rsid w:val="00203EC3"/>
    <w:rsid w:val="00205F11"/>
    <w:rsid w:val="002223F2"/>
    <w:rsid w:val="0023587E"/>
    <w:rsid w:val="00256B45"/>
    <w:rsid w:val="00285453"/>
    <w:rsid w:val="002879B0"/>
    <w:rsid w:val="00297B1B"/>
    <w:rsid w:val="002A3737"/>
    <w:rsid w:val="002B33BC"/>
    <w:rsid w:val="002B59F1"/>
    <w:rsid w:val="002B7F0C"/>
    <w:rsid w:val="002C03A8"/>
    <w:rsid w:val="002C700D"/>
    <w:rsid w:val="002C7362"/>
    <w:rsid w:val="002D5FE2"/>
    <w:rsid w:val="002D60D1"/>
    <w:rsid w:val="002E0219"/>
    <w:rsid w:val="002E1A26"/>
    <w:rsid w:val="002E1AD1"/>
    <w:rsid w:val="002F116D"/>
    <w:rsid w:val="002F63C1"/>
    <w:rsid w:val="00303747"/>
    <w:rsid w:val="00315DD6"/>
    <w:rsid w:val="00326375"/>
    <w:rsid w:val="00330340"/>
    <w:rsid w:val="00356F15"/>
    <w:rsid w:val="003605F1"/>
    <w:rsid w:val="00362521"/>
    <w:rsid w:val="00363A22"/>
    <w:rsid w:val="003640DC"/>
    <w:rsid w:val="00365AFF"/>
    <w:rsid w:val="003664EC"/>
    <w:rsid w:val="0037223D"/>
    <w:rsid w:val="00372D63"/>
    <w:rsid w:val="00382899"/>
    <w:rsid w:val="00390249"/>
    <w:rsid w:val="00396D39"/>
    <w:rsid w:val="003B2A1A"/>
    <w:rsid w:val="003B606C"/>
    <w:rsid w:val="003C78B3"/>
    <w:rsid w:val="003D324A"/>
    <w:rsid w:val="003E0F9A"/>
    <w:rsid w:val="003E76CC"/>
    <w:rsid w:val="00400E65"/>
    <w:rsid w:val="0041495D"/>
    <w:rsid w:val="00430ED1"/>
    <w:rsid w:val="00456443"/>
    <w:rsid w:val="004800B4"/>
    <w:rsid w:val="0048076B"/>
    <w:rsid w:val="00481035"/>
    <w:rsid w:val="004860D8"/>
    <w:rsid w:val="004A7FA3"/>
    <w:rsid w:val="004B312C"/>
    <w:rsid w:val="004B3139"/>
    <w:rsid w:val="004C452B"/>
    <w:rsid w:val="004E1C61"/>
    <w:rsid w:val="004F6B4C"/>
    <w:rsid w:val="00507AF1"/>
    <w:rsid w:val="0051218A"/>
    <w:rsid w:val="0051438F"/>
    <w:rsid w:val="00514FFE"/>
    <w:rsid w:val="00521B08"/>
    <w:rsid w:val="00530150"/>
    <w:rsid w:val="00530832"/>
    <w:rsid w:val="00547422"/>
    <w:rsid w:val="005478D5"/>
    <w:rsid w:val="00550BEB"/>
    <w:rsid w:val="00552744"/>
    <w:rsid w:val="005573F6"/>
    <w:rsid w:val="00584A4F"/>
    <w:rsid w:val="0058726E"/>
    <w:rsid w:val="005959CB"/>
    <w:rsid w:val="005A20A7"/>
    <w:rsid w:val="005A5C50"/>
    <w:rsid w:val="005A5FB0"/>
    <w:rsid w:val="005B1BD2"/>
    <w:rsid w:val="005D30B8"/>
    <w:rsid w:val="005F6194"/>
    <w:rsid w:val="00604082"/>
    <w:rsid w:val="00604294"/>
    <w:rsid w:val="006252B4"/>
    <w:rsid w:val="0062584B"/>
    <w:rsid w:val="00630C31"/>
    <w:rsid w:val="00635862"/>
    <w:rsid w:val="00647107"/>
    <w:rsid w:val="006711D2"/>
    <w:rsid w:val="00675442"/>
    <w:rsid w:val="0068432A"/>
    <w:rsid w:val="006A1861"/>
    <w:rsid w:val="006B3BD5"/>
    <w:rsid w:val="006C2D53"/>
    <w:rsid w:val="006E107C"/>
    <w:rsid w:val="006E283A"/>
    <w:rsid w:val="006E3816"/>
    <w:rsid w:val="006E4048"/>
    <w:rsid w:val="006E4B9E"/>
    <w:rsid w:val="006E598C"/>
    <w:rsid w:val="006F33CC"/>
    <w:rsid w:val="007010F0"/>
    <w:rsid w:val="00712AC7"/>
    <w:rsid w:val="00722093"/>
    <w:rsid w:val="00726A50"/>
    <w:rsid w:val="00735356"/>
    <w:rsid w:val="00745402"/>
    <w:rsid w:val="007536CB"/>
    <w:rsid w:val="00757762"/>
    <w:rsid w:val="00765598"/>
    <w:rsid w:val="007C267C"/>
    <w:rsid w:val="007D347E"/>
    <w:rsid w:val="007D52F0"/>
    <w:rsid w:val="007E78B2"/>
    <w:rsid w:val="007F20E4"/>
    <w:rsid w:val="007F3023"/>
    <w:rsid w:val="0082497C"/>
    <w:rsid w:val="008362AD"/>
    <w:rsid w:val="00845F87"/>
    <w:rsid w:val="008470E8"/>
    <w:rsid w:val="00854A65"/>
    <w:rsid w:val="008604A5"/>
    <w:rsid w:val="00871E57"/>
    <w:rsid w:val="00873B76"/>
    <w:rsid w:val="00875F75"/>
    <w:rsid w:val="00883D9D"/>
    <w:rsid w:val="00883F7D"/>
    <w:rsid w:val="00892268"/>
    <w:rsid w:val="008B0DA2"/>
    <w:rsid w:val="008B7584"/>
    <w:rsid w:val="008C33A6"/>
    <w:rsid w:val="008C53AE"/>
    <w:rsid w:val="008C5988"/>
    <w:rsid w:val="008C7155"/>
    <w:rsid w:val="008C71B0"/>
    <w:rsid w:val="008D24C4"/>
    <w:rsid w:val="008D5EF1"/>
    <w:rsid w:val="00901EF4"/>
    <w:rsid w:val="00914ACF"/>
    <w:rsid w:val="0092014A"/>
    <w:rsid w:val="009231A3"/>
    <w:rsid w:val="00924EB5"/>
    <w:rsid w:val="009315E7"/>
    <w:rsid w:val="00934CDC"/>
    <w:rsid w:val="009464A5"/>
    <w:rsid w:val="0095414D"/>
    <w:rsid w:val="0095755D"/>
    <w:rsid w:val="009616A2"/>
    <w:rsid w:val="0096601D"/>
    <w:rsid w:val="009714CE"/>
    <w:rsid w:val="00981805"/>
    <w:rsid w:val="009820DF"/>
    <w:rsid w:val="009A7E70"/>
    <w:rsid w:val="009B6428"/>
    <w:rsid w:val="009C0D10"/>
    <w:rsid w:val="009D3920"/>
    <w:rsid w:val="009F14D2"/>
    <w:rsid w:val="009F73C7"/>
    <w:rsid w:val="00A10E52"/>
    <w:rsid w:val="00A14BB2"/>
    <w:rsid w:val="00A158E9"/>
    <w:rsid w:val="00A35945"/>
    <w:rsid w:val="00A35953"/>
    <w:rsid w:val="00A36B99"/>
    <w:rsid w:val="00A40E90"/>
    <w:rsid w:val="00A418D7"/>
    <w:rsid w:val="00AA45B6"/>
    <w:rsid w:val="00AA5A88"/>
    <w:rsid w:val="00AA6179"/>
    <w:rsid w:val="00AB500E"/>
    <w:rsid w:val="00AE72F9"/>
    <w:rsid w:val="00AF1617"/>
    <w:rsid w:val="00B323F2"/>
    <w:rsid w:val="00B35CED"/>
    <w:rsid w:val="00B56DE8"/>
    <w:rsid w:val="00B60056"/>
    <w:rsid w:val="00B7642F"/>
    <w:rsid w:val="00B82902"/>
    <w:rsid w:val="00B910A3"/>
    <w:rsid w:val="00B9273F"/>
    <w:rsid w:val="00B97005"/>
    <w:rsid w:val="00BA17BA"/>
    <w:rsid w:val="00BA58F0"/>
    <w:rsid w:val="00BB324D"/>
    <w:rsid w:val="00BE2AFF"/>
    <w:rsid w:val="00BE69AA"/>
    <w:rsid w:val="00BE72C4"/>
    <w:rsid w:val="00BF50BB"/>
    <w:rsid w:val="00BF79C9"/>
    <w:rsid w:val="00C02D5B"/>
    <w:rsid w:val="00C13631"/>
    <w:rsid w:val="00C34F1B"/>
    <w:rsid w:val="00C464DD"/>
    <w:rsid w:val="00C5205F"/>
    <w:rsid w:val="00C553C9"/>
    <w:rsid w:val="00C627DC"/>
    <w:rsid w:val="00C7129A"/>
    <w:rsid w:val="00C776A9"/>
    <w:rsid w:val="00C80E49"/>
    <w:rsid w:val="00C82CC5"/>
    <w:rsid w:val="00C95E16"/>
    <w:rsid w:val="00CB083B"/>
    <w:rsid w:val="00CB197F"/>
    <w:rsid w:val="00CC0790"/>
    <w:rsid w:val="00CE60EA"/>
    <w:rsid w:val="00CE648F"/>
    <w:rsid w:val="00CF3D15"/>
    <w:rsid w:val="00D02BA1"/>
    <w:rsid w:val="00D04306"/>
    <w:rsid w:val="00D046A7"/>
    <w:rsid w:val="00D11F21"/>
    <w:rsid w:val="00D13176"/>
    <w:rsid w:val="00D1729C"/>
    <w:rsid w:val="00D239D1"/>
    <w:rsid w:val="00D3211F"/>
    <w:rsid w:val="00D3245F"/>
    <w:rsid w:val="00D41574"/>
    <w:rsid w:val="00D72F00"/>
    <w:rsid w:val="00D845C4"/>
    <w:rsid w:val="00D92827"/>
    <w:rsid w:val="00DA0916"/>
    <w:rsid w:val="00DC2369"/>
    <w:rsid w:val="00DC5AE7"/>
    <w:rsid w:val="00DC5F84"/>
    <w:rsid w:val="00DC66A1"/>
    <w:rsid w:val="00DD1A2E"/>
    <w:rsid w:val="00DE0DA8"/>
    <w:rsid w:val="00DE1531"/>
    <w:rsid w:val="00DE553B"/>
    <w:rsid w:val="00E01739"/>
    <w:rsid w:val="00E02FA5"/>
    <w:rsid w:val="00E205AD"/>
    <w:rsid w:val="00E2648A"/>
    <w:rsid w:val="00E31FEF"/>
    <w:rsid w:val="00E37579"/>
    <w:rsid w:val="00E56677"/>
    <w:rsid w:val="00E7054F"/>
    <w:rsid w:val="00E7295E"/>
    <w:rsid w:val="00E73E48"/>
    <w:rsid w:val="00E8199A"/>
    <w:rsid w:val="00E854FA"/>
    <w:rsid w:val="00E86B6C"/>
    <w:rsid w:val="00E90A58"/>
    <w:rsid w:val="00EA202C"/>
    <w:rsid w:val="00EA63EF"/>
    <w:rsid w:val="00EA6630"/>
    <w:rsid w:val="00EB213A"/>
    <w:rsid w:val="00EB2ADC"/>
    <w:rsid w:val="00EC0550"/>
    <w:rsid w:val="00EC448D"/>
    <w:rsid w:val="00EE0641"/>
    <w:rsid w:val="00EE229A"/>
    <w:rsid w:val="00F15E33"/>
    <w:rsid w:val="00F21A74"/>
    <w:rsid w:val="00F23382"/>
    <w:rsid w:val="00F4797B"/>
    <w:rsid w:val="00F630BA"/>
    <w:rsid w:val="00F6466F"/>
    <w:rsid w:val="00F6609B"/>
    <w:rsid w:val="00F807C0"/>
    <w:rsid w:val="00F80ECE"/>
    <w:rsid w:val="00F97CF5"/>
    <w:rsid w:val="00FB4C3B"/>
    <w:rsid w:val="00FF3444"/>
    <w:rsid w:val="00FF3E78"/>
    <w:rsid w:val="00FF6EBE"/>
    <w:rsid w:val="1AC57257"/>
    <w:rsid w:val="1DB86995"/>
    <w:rsid w:val="32DC5D2C"/>
    <w:rsid w:val="49BB54A7"/>
    <w:rsid w:val="638238F4"/>
    <w:rsid w:val="7C1759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8DE8F9-A63E-4B2D-9039-1BAF072C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47"/>
    <w:pPr>
      <w:spacing w:after="200" w:line="276" w:lineRule="auto"/>
      <w:jc w:val="both"/>
    </w:pPr>
    <w:rPr>
      <w:kern w:val="2"/>
      <w:sz w:val="21"/>
    </w:rPr>
  </w:style>
  <w:style w:type="paragraph" w:styleId="Ttulo1">
    <w:name w:val="heading 1"/>
    <w:basedOn w:val="Normal"/>
    <w:link w:val="Ttulo1Car"/>
    <w:uiPriority w:val="99"/>
    <w:qFormat/>
    <w:locked/>
    <w:rsid w:val="0048076B"/>
    <w:pPr>
      <w:spacing w:before="100" w:beforeAutospacing="1" w:after="100" w:afterAutospacing="1" w:line="240" w:lineRule="auto"/>
      <w:jc w:val="left"/>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8076B"/>
    <w:rPr>
      <w:rFonts w:eastAsia="Times New Roman" w:cs="Times New Roman"/>
      <w:b/>
      <w:bCs/>
      <w:kern w:val="36"/>
      <w:sz w:val="48"/>
      <w:szCs w:val="48"/>
    </w:rPr>
  </w:style>
  <w:style w:type="paragraph" w:styleId="Textonotapie">
    <w:name w:val="footnote text"/>
    <w:aliases w:val="Car"/>
    <w:basedOn w:val="Normal"/>
    <w:link w:val="TextonotapieCar"/>
    <w:uiPriority w:val="99"/>
    <w:rsid w:val="00303747"/>
    <w:pPr>
      <w:snapToGrid w:val="0"/>
      <w:jc w:val="left"/>
    </w:pPr>
    <w:rPr>
      <w:sz w:val="18"/>
      <w:szCs w:val="18"/>
    </w:rPr>
  </w:style>
  <w:style w:type="character" w:customStyle="1" w:styleId="TextonotapieCar">
    <w:name w:val="Texto nota pie Car"/>
    <w:aliases w:val="Car Car"/>
    <w:link w:val="Textonotapie"/>
    <w:uiPriority w:val="99"/>
    <w:locked/>
    <w:rsid w:val="001848E6"/>
    <w:rPr>
      <w:rFonts w:cs="Times New Roman"/>
      <w:kern w:val="2"/>
      <w:sz w:val="18"/>
      <w:szCs w:val="18"/>
    </w:rPr>
  </w:style>
  <w:style w:type="character" w:styleId="Refdenotaalpie">
    <w:name w:val="footnote reference"/>
    <w:uiPriority w:val="99"/>
    <w:rsid w:val="00303747"/>
    <w:rPr>
      <w:rFonts w:cs="Times New Roman"/>
      <w:vertAlign w:val="superscript"/>
    </w:rPr>
  </w:style>
  <w:style w:type="paragraph" w:customStyle="1" w:styleId="Predeterminado">
    <w:name w:val="Predeterminado"/>
    <w:uiPriority w:val="99"/>
    <w:rsid w:val="00303747"/>
    <w:pPr>
      <w:widowControl w:val="0"/>
      <w:autoSpaceDE w:val="0"/>
      <w:autoSpaceDN w:val="0"/>
      <w:adjustRightInd w:val="0"/>
      <w:spacing w:after="200" w:line="276" w:lineRule="auto"/>
    </w:pPr>
    <w:rPr>
      <w:rFonts w:hAnsi="Lucida Sans"/>
      <w:kern w:val="1"/>
      <w:sz w:val="24"/>
      <w:lang w:val="en-GB" w:eastAsia="zh-CN"/>
    </w:rPr>
  </w:style>
  <w:style w:type="paragraph" w:customStyle="1" w:styleId="Encabezado1">
    <w:name w:val="Encabezado1"/>
    <w:basedOn w:val="Predeterminado"/>
    <w:next w:val="Cuerpodetexto"/>
    <w:uiPriority w:val="99"/>
    <w:rsid w:val="00303747"/>
    <w:pPr>
      <w:keepNext/>
      <w:spacing w:before="240" w:after="120"/>
    </w:pPr>
    <w:rPr>
      <w:rFonts w:ascii="Arial" w:eastAsia="Microsoft YaHei"/>
      <w:kern w:val="0"/>
      <w:sz w:val="28"/>
    </w:rPr>
  </w:style>
  <w:style w:type="paragraph" w:customStyle="1" w:styleId="Cuerpodetexto">
    <w:name w:val="Cuerpo de texto"/>
    <w:basedOn w:val="Predeterminado"/>
    <w:uiPriority w:val="99"/>
    <w:rsid w:val="00303747"/>
    <w:pPr>
      <w:spacing w:after="120"/>
    </w:pPr>
    <w:rPr>
      <w:rFonts w:hAnsi="Times New Roman"/>
      <w:kern w:val="0"/>
    </w:rPr>
  </w:style>
  <w:style w:type="paragraph" w:customStyle="1" w:styleId="Lista1">
    <w:name w:val="Lista1"/>
    <w:basedOn w:val="Cuerpodetexto"/>
    <w:uiPriority w:val="99"/>
    <w:rsid w:val="00303747"/>
    <w:rPr>
      <w:rFonts w:eastAsia="Times New Roman" w:hAnsi="Lucida Sans"/>
    </w:rPr>
  </w:style>
  <w:style w:type="paragraph" w:customStyle="1" w:styleId="Etiqueta">
    <w:name w:val="Etiqueta"/>
    <w:basedOn w:val="Predeterminado"/>
    <w:uiPriority w:val="99"/>
    <w:rsid w:val="00303747"/>
    <w:pPr>
      <w:spacing w:before="120" w:after="120"/>
    </w:pPr>
    <w:rPr>
      <w:rFonts w:eastAsia="Times New Roman"/>
      <w:i/>
      <w:kern w:val="0"/>
    </w:rPr>
  </w:style>
  <w:style w:type="paragraph" w:customStyle="1" w:styleId="ndice">
    <w:name w:val="Índice"/>
    <w:basedOn w:val="Predeterminado"/>
    <w:uiPriority w:val="99"/>
    <w:rsid w:val="00303747"/>
    <w:rPr>
      <w:rFonts w:eastAsia="Times New Roman"/>
      <w:kern w:val="0"/>
    </w:rPr>
  </w:style>
  <w:style w:type="paragraph" w:customStyle="1" w:styleId="Notaalpie">
    <w:name w:val="Nota al pie"/>
    <w:basedOn w:val="Predeterminado"/>
    <w:uiPriority w:val="99"/>
    <w:rsid w:val="00303747"/>
    <w:pPr>
      <w:ind w:left="283" w:hanging="283"/>
    </w:pPr>
    <w:rPr>
      <w:rFonts w:hAnsi="Times New Roman"/>
      <w:kern w:val="0"/>
      <w:sz w:val="20"/>
    </w:rPr>
  </w:style>
  <w:style w:type="character" w:customStyle="1" w:styleId="Smbolosdenumeracin">
    <w:name w:val="Símbolos de numeración"/>
    <w:uiPriority w:val="99"/>
    <w:rsid w:val="00303747"/>
    <w:rPr>
      <w:sz w:val="24"/>
    </w:rPr>
  </w:style>
  <w:style w:type="character" w:customStyle="1" w:styleId="Caracteresdenotaalpie">
    <w:name w:val="Caracteres de nota al pie"/>
    <w:uiPriority w:val="99"/>
    <w:rsid w:val="00303747"/>
    <w:rPr>
      <w:sz w:val="24"/>
    </w:rPr>
  </w:style>
  <w:style w:type="character" w:customStyle="1" w:styleId="Ancladenotaalpie">
    <w:name w:val="Ancla de nota al pie"/>
    <w:uiPriority w:val="99"/>
    <w:rsid w:val="00303747"/>
    <w:rPr>
      <w:position w:val="2"/>
      <w:sz w:val="24"/>
    </w:rPr>
  </w:style>
  <w:style w:type="character" w:customStyle="1" w:styleId="Ancladenotafinal">
    <w:name w:val="Ancla de nota final"/>
    <w:uiPriority w:val="99"/>
    <w:rsid w:val="00303747"/>
    <w:rPr>
      <w:position w:val="2"/>
      <w:sz w:val="24"/>
    </w:rPr>
  </w:style>
  <w:style w:type="character" w:customStyle="1" w:styleId="Caracteresdenotafinal">
    <w:name w:val="Caracteres de nota final"/>
    <w:uiPriority w:val="99"/>
    <w:rsid w:val="00303747"/>
    <w:rPr>
      <w:sz w:val="24"/>
    </w:rPr>
  </w:style>
  <w:style w:type="paragraph" w:styleId="Piedepgina">
    <w:name w:val="footer"/>
    <w:basedOn w:val="Normal"/>
    <w:link w:val="PiedepginaCar"/>
    <w:uiPriority w:val="99"/>
    <w:rsid w:val="005478D5"/>
    <w:pPr>
      <w:tabs>
        <w:tab w:val="center" w:pos="4252"/>
        <w:tab w:val="right" w:pos="8504"/>
      </w:tabs>
      <w:spacing w:after="0" w:line="240" w:lineRule="auto"/>
      <w:jc w:val="left"/>
    </w:pPr>
    <w:rPr>
      <w:rFonts w:ascii="Calibri" w:hAnsi="Calibri"/>
      <w:kern w:val="0"/>
      <w:sz w:val="22"/>
      <w:szCs w:val="22"/>
      <w:lang w:eastAsia="en-US"/>
    </w:rPr>
  </w:style>
  <w:style w:type="character" w:customStyle="1" w:styleId="PiedepginaCar">
    <w:name w:val="Pie de página Car"/>
    <w:link w:val="Piedepgina"/>
    <w:uiPriority w:val="99"/>
    <w:locked/>
    <w:rsid w:val="005478D5"/>
    <w:rPr>
      <w:rFonts w:ascii="Calibri" w:hAnsi="Calibri" w:cs="Times New Roman"/>
      <w:sz w:val="22"/>
      <w:szCs w:val="22"/>
      <w:lang w:eastAsia="en-US"/>
    </w:rPr>
  </w:style>
  <w:style w:type="paragraph" w:styleId="Textoindependiente">
    <w:name w:val="Body Text"/>
    <w:basedOn w:val="Normal"/>
    <w:link w:val="TextoindependienteCar"/>
    <w:uiPriority w:val="99"/>
    <w:rsid w:val="001848E6"/>
    <w:pPr>
      <w:spacing w:after="0" w:line="240" w:lineRule="auto"/>
      <w:jc w:val="left"/>
    </w:pPr>
    <w:rPr>
      <w:rFonts w:ascii="Arial" w:hAnsi="Arial" w:cs="Arial"/>
      <w:bCs/>
      <w:kern w:val="0"/>
      <w:sz w:val="22"/>
      <w:szCs w:val="22"/>
      <w:lang w:val="es-ES" w:eastAsia="es-ES"/>
    </w:rPr>
  </w:style>
  <w:style w:type="character" w:customStyle="1" w:styleId="TextoindependienteCar">
    <w:name w:val="Texto independiente Car"/>
    <w:link w:val="Textoindependiente"/>
    <w:uiPriority w:val="99"/>
    <w:locked/>
    <w:rsid w:val="001848E6"/>
    <w:rPr>
      <w:rFonts w:ascii="Arial" w:hAnsi="Arial" w:cs="Arial"/>
      <w:bCs/>
      <w:sz w:val="22"/>
      <w:szCs w:val="22"/>
      <w:lang w:val="es-ES" w:eastAsia="es-ES"/>
    </w:rPr>
  </w:style>
  <w:style w:type="character" w:customStyle="1" w:styleId="A2">
    <w:name w:val="A2"/>
    <w:uiPriority w:val="99"/>
    <w:rsid w:val="0006394F"/>
    <w:rPr>
      <w:color w:val="000000"/>
      <w:sz w:val="20"/>
    </w:rPr>
  </w:style>
  <w:style w:type="paragraph" w:styleId="Textodeglobo">
    <w:name w:val="Balloon Text"/>
    <w:basedOn w:val="Normal"/>
    <w:link w:val="TextodegloboCar"/>
    <w:uiPriority w:val="99"/>
    <w:semiHidden/>
    <w:rsid w:val="005A5C50"/>
    <w:pPr>
      <w:spacing w:after="0" w:line="240" w:lineRule="auto"/>
    </w:pPr>
    <w:rPr>
      <w:sz w:val="18"/>
      <w:szCs w:val="18"/>
    </w:rPr>
  </w:style>
  <w:style w:type="character" w:customStyle="1" w:styleId="TextodegloboCar">
    <w:name w:val="Texto de globo Car"/>
    <w:link w:val="Textodeglobo"/>
    <w:uiPriority w:val="99"/>
    <w:semiHidden/>
    <w:locked/>
    <w:rsid w:val="005A5C50"/>
    <w:rPr>
      <w:rFonts w:cs="Times New Roman"/>
      <w:kern w:val="2"/>
      <w:sz w:val="18"/>
      <w:szCs w:val="18"/>
    </w:rPr>
  </w:style>
  <w:style w:type="paragraph" w:styleId="Prrafodelista">
    <w:name w:val="List Paragraph"/>
    <w:basedOn w:val="Normal"/>
    <w:uiPriority w:val="99"/>
    <w:qFormat/>
    <w:rsid w:val="001C5745"/>
    <w:pPr>
      <w:ind w:left="720"/>
      <w:contextualSpacing/>
    </w:pPr>
  </w:style>
  <w:style w:type="character" w:styleId="Hipervnculo">
    <w:name w:val="Hyperlink"/>
    <w:uiPriority w:val="99"/>
    <w:rsid w:val="003C78B3"/>
    <w:rPr>
      <w:rFonts w:cs="Times New Roman"/>
      <w:color w:val="0000FF"/>
      <w:u w:val="single"/>
    </w:rPr>
  </w:style>
  <w:style w:type="paragraph" w:customStyle="1" w:styleId="Default">
    <w:name w:val="Default"/>
    <w:uiPriority w:val="99"/>
    <w:rsid w:val="00B323F2"/>
    <w:pPr>
      <w:autoSpaceDE w:val="0"/>
      <w:autoSpaceDN w:val="0"/>
      <w:adjustRightInd w:val="0"/>
    </w:pPr>
    <w:rPr>
      <w:rFonts w:ascii="TheSans 4-SemiLight" w:hAnsi="TheSans 4-SemiLight" w:cs="TheSans 4-SemiLight"/>
      <w:color w:val="000000"/>
      <w:sz w:val="24"/>
      <w:szCs w:val="24"/>
    </w:rPr>
  </w:style>
  <w:style w:type="character" w:customStyle="1" w:styleId="A13">
    <w:name w:val="A13"/>
    <w:uiPriority w:val="99"/>
    <w:rsid w:val="00B323F2"/>
    <w:rPr>
      <w:color w:val="000000"/>
      <w:sz w:val="18"/>
    </w:rPr>
  </w:style>
  <w:style w:type="paragraph" w:styleId="Textoindependiente2">
    <w:name w:val="Body Text 2"/>
    <w:basedOn w:val="Normal"/>
    <w:link w:val="Textoindependiente2Car"/>
    <w:uiPriority w:val="99"/>
    <w:rsid w:val="000B3073"/>
    <w:pPr>
      <w:spacing w:after="120" w:line="480" w:lineRule="auto"/>
    </w:pPr>
  </w:style>
  <w:style w:type="character" w:customStyle="1" w:styleId="Textoindependiente2Car">
    <w:name w:val="Texto independiente 2 Car"/>
    <w:link w:val="Textoindependiente2"/>
    <w:uiPriority w:val="99"/>
    <w:locked/>
    <w:rsid w:val="000B3073"/>
    <w:rPr>
      <w:rFonts w:cs="Times New Roman"/>
      <w:kern w:val="2"/>
      <w:sz w:val="20"/>
      <w:szCs w:val="20"/>
    </w:rPr>
  </w:style>
  <w:style w:type="paragraph" w:styleId="NormalWeb">
    <w:name w:val="Normal (Web)"/>
    <w:basedOn w:val="Normal"/>
    <w:uiPriority w:val="99"/>
    <w:rsid w:val="001D21E6"/>
    <w:pPr>
      <w:spacing w:before="100" w:beforeAutospacing="1" w:after="100" w:afterAutospacing="1" w:line="240" w:lineRule="auto"/>
      <w:jc w:val="left"/>
    </w:pPr>
    <w:rPr>
      <w:kern w:val="0"/>
      <w:sz w:val="24"/>
      <w:szCs w:val="24"/>
    </w:rPr>
  </w:style>
  <w:style w:type="character" w:styleId="Textoennegrita">
    <w:name w:val="Strong"/>
    <w:uiPriority w:val="99"/>
    <w:qFormat/>
    <w:locked/>
    <w:rsid w:val="00C627DC"/>
    <w:rPr>
      <w:rFonts w:cs="Times New Roman"/>
      <w:b/>
      <w:bCs/>
    </w:rPr>
  </w:style>
  <w:style w:type="character" w:customStyle="1" w:styleId="a">
    <w:name w:val="a"/>
    <w:uiPriority w:val="99"/>
    <w:rsid w:val="00C776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60447">
      <w:marLeft w:val="0"/>
      <w:marRight w:val="0"/>
      <w:marTop w:val="0"/>
      <w:marBottom w:val="0"/>
      <w:divBdr>
        <w:top w:val="none" w:sz="0" w:space="0" w:color="auto"/>
        <w:left w:val="none" w:sz="0" w:space="0" w:color="auto"/>
        <w:bottom w:val="none" w:sz="0" w:space="0" w:color="auto"/>
        <w:right w:val="none" w:sz="0" w:space="0" w:color="auto"/>
      </w:divBdr>
    </w:div>
    <w:div w:id="786660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caroszlak.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10465</Words>
  <Characters>57558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67888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Dlawler</dc:creator>
  <cp:keywords/>
  <dc:description/>
  <cp:lastModifiedBy>COAS 2015</cp:lastModifiedBy>
  <cp:revision>3</cp:revision>
  <cp:lastPrinted>2017-11-13T10:35:00Z</cp:lastPrinted>
  <dcterms:created xsi:type="dcterms:W3CDTF">2017-11-15T15:20:00Z</dcterms:created>
  <dcterms:modified xsi:type="dcterms:W3CDTF">2017-11-15T15:39:00Z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